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méthodologique : preuve de concept</w:t>
      </w:r>
    </w:p>
    <w:p>
      <w:r>
        <w:rPr>
          <w:b/>
        </w:rPr>
        <w:t>Classification multi-label de commentaires toxiques — Comparaison de baselines et de ModernBERT (décembre 2024)</w:t>
      </w:r>
    </w:p>
    <w:p>
      <w:pPr>
        <w:pStyle w:val="Heading1"/>
      </w:pPr>
      <w:r>
        <w:t>Dataset retenu</w:t>
      </w:r>
    </w:p>
    <w:p>
      <w:r>
        <w:t>Dataset : Jigsaw Toxic Comment Classification Challenge (Kaggle)</w:t>
        <w:br/>
        <w:t>Source : https://www.kaggle.com/c/jigsaw-toxic-comment-classification-challenge</w:t>
      </w:r>
    </w:p>
    <w:p>
      <w:r>
        <w:t>Le dataset est composé d'environ 160 000 commentaires issus de Wikipedia, annotés manuellement par des évaluateurs humains. La tâche est une classification multi-label : chaque commentaire peut appartenir à un ou plusieurs des 6 labels de toxicité suivants : toxic, severe_toxic, obscene, threat, insult, identity_hate.</w:t>
      </w:r>
    </w:p>
    <w:p>
      <w:r>
        <w:rPr>
          <w:b/>
        </w:rPr>
        <w:t>Caractéristiques clés :</w:t>
      </w:r>
    </w:p>
    <w:p>
      <w:pPr>
        <w:pStyle w:val="ListBullet"/>
      </w:pPr>
      <w:r>
        <w:t>Taille : ~159 571 commentaires après nettoyage.</w:t>
      </w:r>
    </w:p>
    <w:p>
      <w:pPr>
        <w:pStyle w:val="ListBullet"/>
      </w:pPr>
      <w:r>
        <w:t>Fort déséquilibre de classes : ~90% des commentaires sont non-toxiques.</w:t>
      </w:r>
    </w:p>
    <w:p>
      <w:pPr>
        <w:pStyle w:val="ListBullet"/>
      </w:pPr>
      <w:r>
        <w:t>Labels rares : threat (0.3%) et identity_hate (0.9%).</w:t>
      </w:r>
    </w:p>
    <w:p>
      <w:pPr>
        <w:pStyle w:val="ListBullet"/>
      </w:pPr>
      <w:r>
        <w:t>Co-occurrences fréquentes entre toxic, obscene et insult.</w:t>
      </w:r>
    </w:p>
    <w:p>
      <w:pPr>
        <w:pStyle w:val="ListBullet"/>
      </w:pPr>
      <w:r>
        <w:t>Textes de longueur très variable (quelques mots à plusieurs paragraphes).</w:t>
      </w:r>
    </w:p>
    <w:p>
      <w:r>
        <w:t>Raison du choix : dataset de référence en NLP pour la classification de texte, bien documenté, largement utilisé dans la communauté, et présentant des défis réalistes (déséquilibre, multi-label, variété linguistique). La métrique principale du challenge Kaggle (ROC-AUC macro) est un standard reconnu pour les tâches déséquilibrées.</w:t>
      </w:r>
    </w:p>
    <w:p>
      <w:pPr>
        <w:pStyle w:val="Heading1"/>
      </w:pPr>
      <w:r>
        <w:t>Les concepts de l'algorithme récent — ModernBERT</w:t>
      </w:r>
    </w:p>
    <w:p>
      <w:pPr>
        <w:pStyle w:val="Heading2"/>
      </w:pPr>
      <w:r>
        <w:t>2.1 Architecture Transformer et BERT</w:t>
      </w:r>
    </w:p>
    <w:p>
      <w:r>
        <w:t>ModernBERT s'appuie sur l'architecture Transformer introduite par Vaswani et al. (2017). Le mécanisme central est le self-attention : chaque token d'une séquence calcule un score d'attention avec tous les autres tokens, produisant une représentation contextuelle. Contrairement à TF-IDF, le mot « toxic » aura une représentation différente selon son contexte (« not toxic » vs « very toxic »).</w:t>
      </w:r>
    </w:p>
    <w:p>
      <w:r>
        <w:t>BERT (Devlin et al., 2018) a popularisé le paradigme pré-entraînement + fine-tuning pour les encodeurs bidirectionnels. Il est pré-entraîné sur 3,3 milliards de mots (BookCorpus + Wikipedia) avec deux tâches : Masked Language Modeling (prédire des tokens masqués) et Next Sentence Prediction. Il est ensuite fine-tuné sur la tâche cible en ajoutant une couche de classification.</w:t>
      </w:r>
    </w:p>
    <w:p>
      <w:pPr>
        <w:pStyle w:val="Heading2"/>
      </w:pPr>
      <w:r>
        <w:t>2.2 Nouveautés de ModernBERT (Warner et al., 2024)</w:t>
      </w:r>
    </w:p>
    <w:p>
      <w:r>
        <w:t>ModernBERT (arXiv:2412.13663, décembre 2024) modernise BERT en intégrant 6 ans d'avancées en NLP :</w:t>
      </w:r>
    </w:p>
    <w:p>
      <w:r>
        <w:rPr>
          <w:b/>
        </w:rPr>
        <w:t xml:space="preserve">Pré-entraînement massif : </w:t>
      </w:r>
      <w:r>
        <w:t>2 trillions de tokens (vs 3,3 milliards pour BERT), couvrant données web, code source et documents scientifiques. Cela améliore significativement la compréhension du langage naturel et technique.</w:t>
      </w:r>
    </w:p>
    <w:p>
      <w:r>
        <w:rPr>
          <w:b/>
        </w:rPr>
        <w:t xml:space="preserve">Rotary Positional Embeddings (RoPE) : </w:t>
      </w:r>
      <w:r>
        <w:t>remplace les embeddings positionnels absolus de BERT. RoPE encode la position relative des tokens directement dans le mécanisme d'attention, ce qui généralise mieux aux longues séquences et permet une fenêtre native de 8 192 tokens (vs 512 pour BERT).</w:t>
      </w:r>
    </w:p>
    <w:p>
      <w:r>
        <w:rPr>
          <w:b/>
        </w:rPr>
        <w:t xml:space="preserve">Flash Attention : </w:t>
      </w:r>
      <w:r>
        <w:t>implémentation optimisée du self-attention qui réduit la complexité mémoire de O(n²) à O(n) via une réécriture du calcul en blocs (tiling). Permet d'entraîner et d'inférer sur de longues séquences sans explosion mémoire.</w:t>
      </w:r>
    </w:p>
    <w:p>
      <w:r>
        <w:rPr>
          <w:b/>
        </w:rPr>
        <w:t xml:space="preserve">Alternance attention globale / locale : </w:t>
      </w:r>
      <w:r>
        <w:t>les couches impaires utilisent une attention globale (tous les tokens se voient), les couches paires une attention locale (fenêtre glissante). Cela réduit le coût computationnel tout en conservant la capacité à capturer des dépendances longue portée.</w:t>
      </w:r>
    </w:p>
    <w:p>
      <w:r>
        <w:rPr>
          <w:b/>
        </w:rPr>
        <w:t xml:space="preserve">GeGLU activation : </w:t>
      </w:r>
      <w:r>
        <w:t>remplace le GELU classique par une activation avec gating (Gated Linear Units), améliorant l'expressivité des couches feed-forward.</w:t>
      </w:r>
    </w:p>
    <w:p>
      <w:r>
        <w:rPr>
          <w:b/>
        </w:rPr>
        <w:t xml:space="preserve">Suppression du padding intra-batch : </w:t>
      </w:r>
      <w:r>
        <w:t>les tokens de padding sont retirés avant le calcul de l'attention et réinsérés après, réduisant les calculs inutiles et accélérant l'entraînement.</w:t>
      </w:r>
    </w:p>
    <w:p>
      <w:pPr>
        <w:pStyle w:val="Heading1"/>
      </w:pPr>
      <w:r>
        <w:t>La modélisation</w:t>
      </w:r>
    </w:p>
    <w:p>
      <w:pPr>
        <w:pStyle w:val="Heading2"/>
      </w:pPr>
      <w:r>
        <w:t>3.1 Préparation des données</w:t>
      </w:r>
    </w:p>
    <w:p>
      <w:r>
        <w:t>Le dataset brut a été nettoyé (suppression des doublons, balises HTML, caractères spéciaux) puis divisé en 3 partitions avec un split stratifié (seed=42)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Partition</w:t>
            </w:r>
          </w:p>
        </w:tc>
        <w:tc>
          <w:tcPr>
            <w:tcW w:type="dxa" w:w="2880"/>
          </w:tcPr>
          <w:p>
            <w:r>
              <w:rPr>
                <w:b/>
              </w:rPr>
              <w:t>Taille</w:t>
            </w:r>
          </w:p>
        </w:tc>
        <w:tc>
          <w:tcPr>
            <w:tcW w:type="dxa" w:w="2880"/>
          </w:tcPr>
          <w:p>
            <w:r>
              <w:rPr>
                <w:b/>
              </w:rPr>
              <w:t>Usage</w:t>
            </w:r>
          </w:p>
        </w:tc>
      </w:tr>
      <w:tr>
        <w:tc>
          <w:tcPr>
            <w:tcW w:type="dxa" w:w="2880"/>
          </w:tcPr>
          <w:p>
            <w:r>
              <w:t>Train</w:t>
            </w:r>
          </w:p>
        </w:tc>
        <w:tc>
          <w:tcPr>
            <w:tcW w:type="dxa" w:w="2880"/>
          </w:tcPr>
          <w:p>
            <w:r>
              <w:t>111 478 (70%)</w:t>
            </w:r>
          </w:p>
        </w:tc>
        <w:tc>
          <w:tcPr>
            <w:tcW w:type="dxa" w:w="2880"/>
          </w:tcPr>
          <w:p>
            <w:r>
              <w:t>Entraînement</w:t>
            </w:r>
          </w:p>
        </w:tc>
      </w:tr>
      <w:tr>
        <w:tc>
          <w:tcPr>
            <w:tcW w:type="dxa" w:w="2880"/>
          </w:tcPr>
          <w:p>
            <w:r>
              <w:t>Validation</w:t>
            </w:r>
          </w:p>
        </w:tc>
        <w:tc>
          <w:tcPr>
            <w:tcW w:type="dxa" w:w="2880"/>
          </w:tcPr>
          <w:p>
            <w:r>
              <w:t>23 888 (15%)</w:t>
            </w:r>
          </w:p>
        </w:tc>
        <w:tc>
          <w:tcPr>
            <w:tcW w:type="dxa" w:w="2880"/>
          </w:tcPr>
          <w:p>
            <w:r>
              <w:t>Tuning des hyperparamètres</w:t>
            </w:r>
          </w:p>
        </w:tc>
      </w:tr>
      <w:tr>
        <w:tc>
          <w:tcPr>
            <w:tcW w:type="dxa" w:w="2880"/>
          </w:tcPr>
          <w:p>
            <w:r>
              <w:t>Test</w:t>
            </w:r>
          </w:p>
        </w:tc>
        <w:tc>
          <w:tcPr>
            <w:tcW w:type="dxa" w:w="2880"/>
          </w:tcPr>
          <w:p>
            <w:r>
              <w:t>23 889 (15%)</w:t>
            </w:r>
          </w:p>
        </w:tc>
        <w:tc>
          <w:tcPr>
            <w:tcW w:type="dxa" w:w="2880"/>
          </w:tcPr>
          <w:p>
            <w:r>
              <w:t>Évaluation finale</w:t>
            </w:r>
          </w:p>
        </w:tc>
      </w:tr>
    </w:tbl>
    <w:p/>
    <w:p>
      <w:pPr>
        <w:pStyle w:val="Heading2"/>
      </w:pPr>
      <w:r>
        <w:t>3.2 Configuration des modèles</w:t>
      </w:r>
    </w:p>
    <w:p>
      <w:r>
        <w:t>Les trois modèles sont évalués dans des conditions comparables :</w:t>
      </w:r>
    </w:p>
    <w:p>
      <w:pPr>
        <w:pStyle w:val="ListBullet"/>
      </w:pPr>
      <w:r>
        <w:t>TF-IDF : max_features=50 000, ngram_range=(1,2), sublinear_tf=True. Logistic Regression OneVsRest, max_iter=1 000, C=1.0.</w:t>
      </w:r>
    </w:p>
    <w:p>
      <w:pPr>
        <w:pStyle w:val="ListBullet"/>
      </w:pPr>
      <w:r>
        <w:t>BERT et ModernBERT : 3 epochs, learning_rate=2e-5, weight_decay=0.01, max_length=256 tokens, optimiseur AdamW, mixed precision FP16, GPU NVIDIA CUDA. Batch size 32 pour BERT, 16 pour ModernBERT.</w:t>
      </w:r>
    </w:p>
    <w:p>
      <w:pPr>
        <w:pStyle w:val="Heading2"/>
      </w:pPr>
      <w:r>
        <w:t>3.3 Métrique principale et démarche d'optimisation</w:t>
      </w:r>
    </w:p>
    <w:p>
      <w:r>
        <w:t>La métrique principale est le ROC-AUC macro, standard du challenge Kaggle. Elle mesure la capacité du modèle à classer correctement les exemples indépendamment du seuil de décision, ce qui est adapté au fort déséquilibre de classes.</w:t>
      </w:r>
    </w:p>
    <w:p>
      <w:r>
        <w:t>Les modèles Transformer sont sélectionnés selon le meilleur ROC-AUC macro sur le jeu de validation à chaque fin d'epoch (load_best_model_at_end=True). Le jeu de test n'est utilisé qu'une seule fois, en évaluation finale.</w:t>
      </w:r>
    </w:p>
    <w:p>
      <w:r>
        <w:t>Les métriques complémentaires analysées sont : F1-score macro, Precision macro, Recall macro, Hamming Loss, temps d'entraînement et temps d'inférence.</w:t>
      </w:r>
    </w:p>
    <w:p>
      <w:pPr>
        <w:pStyle w:val="Heading1"/>
      </w:pPr>
      <w:r>
        <w:t>Synthèse des résultats</w:t>
      </w:r>
    </w:p>
    <w:p>
      <w:pPr>
        <w:pStyle w:val="Heading2"/>
      </w:pPr>
      <w:r>
        <w:t>4.1 Tableau comparatif</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Modèle</w:t>
            </w:r>
          </w:p>
        </w:tc>
        <w:tc>
          <w:tcPr>
            <w:tcW w:type="dxa" w:w="1234"/>
          </w:tcPr>
          <w:p>
            <w:r>
              <w:rPr>
                <w:b/>
              </w:rPr>
              <w:t>Type</w:t>
            </w:r>
          </w:p>
        </w:tc>
        <w:tc>
          <w:tcPr>
            <w:tcW w:type="dxa" w:w="1234"/>
          </w:tcPr>
          <w:p>
            <w:r>
              <w:rPr>
                <w:b/>
              </w:rPr>
              <w:t>ROC-AUC</w:t>
            </w:r>
          </w:p>
        </w:tc>
        <w:tc>
          <w:tcPr>
            <w:tcW w:type="dxa" w:w="1234"/>
          </w:tcPr>
          <w:p>
            <w:r>
              <w:rPr>
                <w:b/>
              </w:rPr>
              <w:t>F1</w:t>
            </w:r>
          </w:p>
        </w:tc>
        <w:tc>
          <w:tcPr>
            <w:tcW w:type="dxa" w:w="1234"/>
          </w:tcPr>
          <w:p>
            <w:r>
              <w:rPr>
                <w:b/>
              </w:rPr>
              <w:t>Precision</w:t>
            </w:r>
          </w:p>
        </w:tc>
        <w:tc>
          <w:tcPr>
            <w:tcW w:type="dxa" w:w="1234"/>
          </w:tcPr>
          <w:p>
            <w:r>
              <w:rPr>
                <w:b/>
              </w:rPr>
              <w:t>Recall</w:t>
            </w:r>
          </w:p>
        </w:tc>
        <w:tc>
          <w:tcPr>
            <w:tcW w:type="dxa" w:w="1234"/>
          </w:tcPr>
          <w:p>
            <w:r>
              <w:rPr>
                <w:b/>
              </w:rPr>
              <w:t>Train (s)</w:t>
            </w:r>
          </w:p>
        </w:tc>
      </w:tr>
      <w:tr>
        <w:tc>
          <w:tcPr>
            <w:tcW w:type="dxa" w:w="1234"/>
          </w:tcPr>
          <w:p>
            <w:r>
              <w:t>TF-IDF + LogReg</w:t>
            </w:r>
          </w:p>
        </w:tc>
        <w:tc>
          <w:tcPr>
            <w:tcW w:type="dxa" w:w="1234"/>
          </w:tcPr>
          <w:p>
            <w:r>
              <w:t>Baseline classique</w:t>
            </w:r>
          </w:p>
        </w:tc>
        <w:tc>
          <w:tcPr>
            <w:tcW w:type="dxa" w:w="1234"/>
          </w:tcPr>
          <w:p>
            <w:r>
              <w:t>0.9786</w:t>
            </w:r>
          </w:p>
        </w:tc>
        <w:tc>
          <w:tcPr>
            <w:tcW w:type="dxa" w:w="1234"/>
          </w:tcPr>
          <w:p>
            <w:r>
              <w:t>0.4666</w:t>
            </w:r>
          </w:p>
        </w:tc>
        <w:tc>
          <w:tcPr>
            <w:tcW w:type="dxa" w:w="1234"/>
          </w:tcPr>
          <w:p>
            <w:r>
              <w:t>0.7831</w:t>
            </w:r>
          </w:p>
        </w:tc>
        <w:tc>
          <w:tcPr>
            <w:tcW w:type="dxa" w:w="1234"/>
          </w:tcPr>
          <w:p>
            <w:r>
              <w:t>0.3536</w:t>
            </w:r>
          </w:p>
        </w:tc>
        <w:tc>
          <w:tcPr>
            <w:tcW w:type="dxa" w:w="1234"/>
          </w:tcPr>
          <w:p>
            <w:r>
              <w:t>19</w:t>
            </w:r>
          </w:p>
        </w:tc>
      </w:tr>
      <w:tr>
        <w:tc>
          <w:tcPr>
            <w:tcW w:type="dxa" w:w="1234"/>
          </w:tcPr>
          <w:p>
            <w:r>
              <w:t>BERT</w:t>
            </w:r>
          </w:p>
        </w:tc>
        <w:tc>
          <w:tcPr>
            <w:tcW w:type="dxa" w:w="1234"/>
          </w:tcPr>
          <w:p>
            <w:r>
              <w:t>Baseline DL</w:t>
            </w:r>
          </w:p>
        </w:tc>
        <w:tc>
          <w:tcPr>
            <w:tcW w:type="dxa" w:w="1234"/>
          </w:tcPr>
          <w:p>
            <w:r>
              <w:t>0.9878</w:t>
            </w:r>
          </w:p>
        </w:tc>
        <w:tc>
          <w:tcPr>
            <w:tcW w:type="dxa" w:w="1234"/>
          </w:tcPr>
          <w:p>
            <w:r>
              <w:t>0.6965</w:t>
            </w:r>
          </w:p>
        </w:tc>
        <w:tc>
          <w:tcPr>
            <w:tcW w:type="dxa" w:w="1234"/>
          </w:tcPr>
          <w:p>
            <w:r>
              <w:t>0.6767</w:t>
            </w:r>
          </w:p>
        </w:tc>
        <w:tc>
          <w:tcPr>
            <w:tcW w:type="dxa" w:w="1234"/>
          </w:tcPr>
          <w:p>
            <w:r>
              <w:t>0.7240</w:t>
            </w:r>
          </w:p>
        </w:tc>
        <w:tc>
          <w:tcPr>
            <w:tcW w:type="dxa" w:w="1234"/>
          </w:tcPr>
          <w:p>
            <w:r>
              <w:t>2 933</w:t>
            </w:r>
          </w:p>
        </w:tc>
      </w:tr>
      <w:tr>
        <w:tc>
          <w:tcPr>
            <w:tcW w:type="dxa" w:w="1234"/>
          </w:tcPr>
          <w:p>
            <w:r>
              <w:t>ModernBERT</w:t>
            </w:r>
          </w:p>
        </w:tc>
        <w:tc>
          <w:tcPr>
            <w:tcW w:type="dxa" w:w="1234"/>
          </w:tcPr>
          <w:p>
            <w:r>
              <w:t>Récent</w:t>
            </w:r>
          </w:p>
        </w:tc>
        <w:tc>
          <w:tcPr>
            <w:tcW w:type="dxa" w:w="1234"/>
          </w:tcPr>
          <w:p>
            <w:r>
              <w:t>0.9914</w:t>
            </w:r>
          </w:p>
        </w:tc>
        <w:tc>
          <w:tcPr>
            <w:tcW w:type="dxa" w:w="1234"/>
          </w:tcPr>
          <w:p>
            <w:r>
              <w:t>0.6427</w:t>
            </w:r>
          </w:p>
        </w:tc>
        <w:tc>
          <w:tcPr>
            <w:tcW w:type="dxa" w:w="1234"/>
          </w:tcPr>
          <w:p>
            <w:r>
              <w:t>0.7410</w:t>
            </w:r>
          </w:p>
        </w:tc>
        <w:tc>
          <w:tcPr>
            <w:tcW w:type="dxa" w:w="1234"/>
          </w:tcPr>
          <w:p>
            <w:r>
              <w:t>0.5749</w:t>
            </w:r>
          </w:p>
        </w:tc>
        <w:tc>
          <w:tcPr>
            <w:tcW w:type="dxa" w:w="1234"/>
          </w:tcPr>
          <w:p>
            <w:r>
              <w:t>5 057</w:t>
            </w:r>
          </w:p>
        </w:tc>
      </w:tr>
    </w:tbl>
    <w:p/>
    <w:p>
      <w:pPr>
        <w:pStyle w:val="Heading2"/>
      </w:pPr>
      <w:r>
        <w:t>4.2 Analyse</w:t>
      </w:r>
    </w:p>
    <w:p>
      <w:r>
        <w:t>Sur la métrique principale (ROC-AUC macro), ModernBERT obtient le meilleur score (0.9914), confirmant l'objectif de la preuve de concept. Le gain vs BERT est de +0.36 points, et vs TF-IDF de +1.28 points.</w:t>
      </w:r>
    </w:p>
    <w:p>
      <w:r>
        <w:t>Sur le F1-score, BERT obtient le meilleur résultat (0.6965 vs 0.6427 pour ModernBERT). BERT a un recall nettement supérieur (0.724 vs 0.575) : il détecte davantage de commentaires toxiques. ModernBERT est plus précis (0.741 vs 0.677) mais plus conservateur. Cette divergence ROC-AUC / F1 s'explique par le seuil de décision fixé à 0.5 : ModernBERT produit de meilleurs scores de probabilité (ranking), mais classe moins d'exemples comme positifs avec ce seuil.</w:t>
      </w:r>
    </w:p>
    <w:p>
      <w:r>
        <w:t>Le saut de performance le plus significatif reste celui entre TF-IDF et les Transformers (+0.92 ROC-AUC, +0.23 F1). L'écart entre BERT et ModernBERT est plus incrémental, confirmant que les architectures Transformer ont atteint un certain plateau sur les tâches de classification courte. Les avantages de ModernBERT (séquences longues, pré-entraînement massif) sont moins exploités ici avec max_length=256.</w:t>
      </w:r>
    </w:p>
    <w:p>
      <w:r>
        <w:t>En termes de coût : ModernBERT est 1.7x plus lent que BERT à l'entraînement et 2.2x plus lent en inférence. TF-IDF reste ~260x plus rapide que ModernBERT pour un ROC-AUC déjà élevé (0.9786).</w:t>
      </w:r>
    </w:p>
    <w:p>
      <w:pPr>
        <w:pStyle w:val="Heading1"/>
      </w:pPr>
      <w:r>
        <w:t>Analyse de la feature importance globale et locale du nouveau modèle</w:t>
      </w:r>
    </w:p>
    <w:p>
      <w:pPr>
        <w:pStyle w:val="Heading2"/>
      </w:pPr>
      <w:r>
        <w:t>5.1 Feature importance pour les Transformers</w:t>
      </w:r>
    </w:p>
    <w:p>
      <w:r>
        <w:t>Contrairement aux modèles linéaires (TF-IDF + LogReg, où les coefficients du modèle donnent directement l'importance de chaque n-gram), les Transformers comme ModernBERT sont des boîtes noires par nature. L'interprétabilité nécessite des méthodes dédiées.</w:t>
      </w:r>
    </w:p>
    <w:p>
      <w:pPr>
        <w:pStyle w:val="Heading2"/>
      </w:pPr>
      <w:r>
        <w:t>5.2 Feature importance globale — TF-IDF + LogReg (référence interprétable)</w:t>
      </w:r>
    </w:p>
    <w:p>
      <w:r>
        <w:t>Pour la baseline TF-IDF + LogReg, les coefficients de la régression logistique permettent d'identifier directement les n-grams les plus discriminants par label. Exemples attendus :</w:t>
      </w:r>
    </w:p>
    <w:p>
      <w:pPr>
        <w:pStyle w:val="ListBullet"/>
      </w:pPr>
      <w:r>
        <w:t>toxic : termes d'insultes directs, language agressif.</w:t>
      </w:r>
    </w:p>
    <w:p>
      <w:pPr>
        <w:pStyle w:val="ListBullet"/>
      </w:pPr>
      <w:r>
        <w:t>threat : vocabulaire de menace (« kill », « die », « hurt »).</w:t>
      </w:r>
    </w:p>
    <w:p>
      <w:pPr>
        <w:pStyle w:val="ListBullet"/>
      </w:pPr>
      <w:r>
        <w:t>identity_hate : termes liés aux groupes identitaires.</w:t>
      </w:r>
    </w:p>
    <w:p>
      <w:r>
        <w:t>Cette interprétabilité est l'un des avantages clés de la baseline classique, et justifie son usage en production quand l'explicabilité est requise.</w:t>
      </w:r>
    </w:p>
    <w:p>
      <w:pPr>
        <w:pStyle w:val="Heading2"/>
      </w:pPr>
      <w:r>
        <w:t>5.3 Feature importance locale — Attention weights (ModernBERT)</w:t>
      </w:r>
    </w:p>
    <w:p>
      <w:r>
        <w:t>Pour ModernBERT, l'interprétabilité locale peut être approchée via les poids d'attention. Chaque couche d'attention produit une matrice indiquant quels tokens « regardent » quels autres tokens. En moyennant les poids d'attention sur les têtes et les couches, on obtient une indication des tokens les plus influents pour la prédiction d'un label donné.</w:t>
      </w:r>
    </w:p>
    <w:p>
      <w:r>
        <w:t>Exemple : pour le label toxic, les poids d'attention devraient être élevés sur les tokens d'insulte ou d'agression. Pour threat, l'attention serait concentrée sur les termes de menace et leurs sujets/objets grammaticaux — capturant des relations contextuelles impossibles à saisir avec TF-IDF.</w:t>
      </w:r>
    </w:p>
    <w:p>
      <w:r>
        <w:t>Une approche plus rigoureuse consiste à utiliser SHAP (SHapley Additive exPlanations) avec un explainer basé sur les perturbations d'entrée, ou Integrated Gradients (attribution des gradients aux tokens d'entrée). Ces méthodes sont computationnellement coûteuses mais fournissent des attributions plus fiables que les poids d'attention bruts, qui ne constituent pas en eux-mêmes une mesure directe d'importance.</w:t>
      </w:r>
    </w:p>
    <w:p>
      <w:pPr>
        <w:pStyle w:val="Heading2"/>
      </w:pPr>
      <w:r>
        <w:t>5.4 Apport de l'interprétabilité contextuelle de ModernBERT</w:t>
      </w:r>
    </w:p>
    <w:p>
      <w:r>
        <w:t>L'avantage principal de ModernBERT sur TF-IDF en termes d'interprétabilité est la capacité à capturer des patterns contextuels complexes. Par exemple :</w:t>
      </w:r>
    </w:p>
    <w:p>
      <w:pPr>
        <w:pStyle w:val="ListBullet"/>
      </w:pPr>
      <w:r>
        <w:t>Négation : « this is not toxic at all » — TF-IDF attribue un score élevé à « toxic », ModernBERT comprend la négation grâce au contexte bidirectionnel.</w:t>
      </w:r>
    </w:p>
    <w:p>
      <w:pPr>
        <w:pStyle w:val="ListBullet"/>
      </w:pPr>
      <w:r>
        <w:t>Ironie/sarcasme : ModernBERT peut potentiellement identifier un ton sarcastique via les relations entre tokens distants.</w:t>
      </w:r>
    </w:p>
    <w:p>
      <w:pPr>
        <w:pStyle w:val="ListBullet"/>
      </w:pPr>
      <w:r>
        <w:t>Co-références : ModernBERT relie un pronom à son antécédent, permettant de comprendre qui est la cible d'une insulte.</w:t>
      </w:r>
    </w:p>
    <w:p>
      <w:pPr>
        <w:pStyle w:val="Heading1"/>
      </w:pPr>
      <w:r>
        <w:t>Limites et améliorations possibles</w:t>
      </w:r>
    </w:p>
    <w:p>
      <w:pPr>
        <w:pStyle w:val="Heading2"/>
      </w:pPr>
      <w:r>
        <w:t>6.1 Limites de cette étude</w:t>
      </w:r>
    </w:p>
    <w:p>
      <w:pPr>
        <w:pStyle w:val="ListBullet"/>
      </w:pPr>
      <w:r>
        <w:t>Seuil de décision fixé à 0.5 : non optimal pour les labels déséquilibrés. Un tuning du seuil par label sur le jeu de validation améliorerait le F1.</w:t>
      </w:r>
    </w:p>
    <w:p>
      <w:pPr>
        <w:pStyle w:val="ListBullet"/>
      </w:pPr>
      <w:r>
        <w:t>Hyperparamètres non optimisés : même configuration pour BERT et ModernBERT. Une recherche d'hyperparamètres (epochs, learning rate, batch size) pourrait améliorer les résultats.</w:t>
      </w:r>
    </w:p>
    <w:p>
      <w:pPr>
        <w:pStyle w:val="ListBullet"/>
      </w:pPr>
      <w:r>
        <w:t>Fenêtre de séquence limitée à 256 tokens : ModernBERT supporte 8 192 tokens. Sur des textes longs, son avantage serait plus marqué.</w:t>
      </w:r>
    </w:p>
    <w:p>
      <w:pPr>
        <w:pStyle w:val="ListBullet"/>
      </w:pPr>
      <w:r>
        <w:t>Labels rares (threat, identity_hate) difficiles à prédire pour tous les modèles en raison du déséquilibre des classes.</w:t>
      </w:r>
    </w:p>
    <w:p>
      <w:pPr>
        <w:pStyle w:val="ListBullet"/>
      </w:pPr>
      <w:r>
        <w:t>Interprétabilité non implémentée sur ModernBERT dans le notebook de démonstration : les poids d'attention et SHAP nécessitent un post-processing dédié.</w:t>
      </w:r>
    </w:p>
    <w:p>
      <w:pPr>
        <w:pStyle w:val="Heading2"/>
      </w:pPr>
      <w:r>
        <w:t>6.2 Améliorations envisageables</w:t>
      </w:r>
    </w:p>
    <w:p>
      <w:pPr>
        <w:pStyle w:val="ListBullet"/>
      </w:pPr>
      <w:r>
        <w:t>Tuning du seuil de décision par label (optimisation sur F1 validation).</w:t>
      </w:r>
    </w:p>
    <w:p>
      <w:pPr>
        <w:pStyle w:val="ListBullet"/>
      </w:pPr>
      <w:r>
        <w:t>Augmentation de données pour les labels rares (paraphrases, back-translation).</w:t>
      </w:r>
    </w:p>
    <w:p>
      <w:pPr>
        <w:pStyle w:val="ListBullet"/>
      </w:pPr>
      <w:r>
        <w:t>Recherche d'hyperparamètres systématique (Optuna, Ray Tune).</w:t>
      </w:r>
    </w:p>
    <w:p>
      <w:pPr>
        <w:pStyle w:val="ListBullet"/>
      </w:pPr>
      <w:r>
        <w:t>Exploitation de la fenêtre longue (8 192 tokens) de ModernBERT sur des documents complets.</w:t>
      </w:r>
    </w:p>
    <w:p>
      <w:pPr>
        <w:pStyle w:val="ListBullet"/>
      </w:pPr>
      <w:r>
        <w:t>Comparaison avec DeBERTa-v3 ou NeoBERT pour étendre l'analyse.</w:t>
      </w:r>
    </w:p>
    <w:p>
      <w:pPr>
        <w:pStyle w:val="ListBullet"/>
      </w:pPr>
      <w:r>
        <w:t>Implémentation de SHAP ou Integrated Gradients pour une interprétabilité robuste de ModernBERT.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