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45C4C" w14:textId="1C135F80" w:rsidR="008F0865" w:rsidRDefault="008F0865" w:rsidP="008F0865">
      <w:pPr>
        <w:jc w:val="center"/>
        <w:rPr>
          <w:b/>
          <w:bCs/>
          <w:sz w:val="24"/>
        </w:rPr>
      </w:pPr>
      <w:r w:rsidRPr="008F0865">
        <w:rPr>
          <w:b/>
          <w:bCs/>
          <w:sz w:val="24"/>
        </w:rPr>
        <w:t>Assignment 1_SDM</w:t>
      </w:r>
    </w:p>
    <w:p w14:paraId="2E4379F5" w14:textId="6DAA7847" w:rsidR="008F0865" w:rsidRDefault="008F0865" w:rsidP="008F0865">
      <w:pPr>
        <w:jc w:val="center"/>
        <w:rPr>
          <w:b/>
          <w:bCs/>
          <w:sz w:val="24"/>
        </w:rPr>
      </w:pPr>
    </w:p>
    <w:p w14:paraId="50DF5776" w14:textId="064A3C83" w:rsidR="008F0865" w:rsidRPr="005678C1" w:rsidRDefault="001213AF" w:rsidP="00D700D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5678C1">
        <w:rPr>
          <w:rFonts w:ascii="Helvetica Neue" w:hAnsi="Helvetica Neue"/>
          <w:b/>
          <w:bCs/>
          <w:color w:val="2D3B45"/>
          <w:sz w:val="28"/>
          <w:szCs w:val="28"/>
          <w:shd w:val="clear" w:color="auto" w:fill="FFFFFF"/>
        </w:rPr>
        <w:t>A</w:t>
      </w:r>
      <w:r w:rsidR="00D700DE" w:rsidRPr="005678C1">
        <w:rPr>
          <w:rFonts w:ascii="Helvetica Neue" w:hAnsi="Helvetica Neue"/>
          <w:color w:val="2D3B45"/>
          <w:sz w:val="28"/>
          <w:szCs w:val="28"/>
          <w:shd w:val="clear" w:color="auto" w:fill="FFFFFF"/>
        </w:rPr>
        <w:t xml:space="preserve">. </w:t>
      </w:r>
      <w:r w:rsidR="002107CC" w:rsidRPr="005678C1">
        <w:rPr>
          <w:rFonts w:ascii="Helvetica Neue" w:hAnsi="Helvetica Neue"/>
          <w:color w:val="2D3B45"/>
          <w:sz w:val="28"/>
          <w:szCs w:val="28"/>
          <w:shd w:val="clear" w:color="auto" w:fill="FFFFFF"/>
        </w:rPr>
        <w:t>Create a predictor table (see sample assignment solutions) with three columns for predictor, expected sign of effect, and a one-sentence rationale for effect.</w:t>
      </w:r>
    </w:p>
    <w:p w14:paraId="6A2940E4" w14:textId="1BF29CED" w:rsidR="002107CC" w:rsidRPr="005678C1" w:rsidRDefault="002107CC" w:rsidP="002107C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6"/>
          <w:szCs w:val="26"/>
        </w:rPr>
      </w:pPr>
      <w:r w:rsidRPr="005678C1">
        <w:rPr>
          <w:rFonts w:ascii="Helvetica Neue" w:eastAsia="Times New Roman" w:hAnsi="Helvetica Neue" w:cs="Times New Roman"/>
          <w:color w:val="2D3B45"/>
          <w:sz w:val="26"/>
          <w:szCs w:val="26"/>
          <w:shd w:val="clear" w:color="auto" w:fill="FFFFFF"/>
        </w:rPr>
        <w:t>The variables which are essential for predicting credit rating are as follows -</w:t>
      </w:r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1612"/>
        <w:gridCol w:w="905"/>
        <w:gridCol w:w="11428"/>
      </w:tblGrid>
      <w:tr w:rsidR="002107CC" w14:paraId="06081EB2" w14:textId="77777777" w:rsidTr="00286937">
        <w:tc>
          <w:tcPr>
            <w:tcW w:w="1615" w:type="dxa"/>
          </w:tcPr>
          <w:p w14:paraId="26285ADB" w14:textId="6D57B30E" w:rsidR="002107CC" w:rsidRPr="005678C1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</w:pPr>
            <w:r w:rsidRPr="005678C1"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  <w:t>Predictor</w:t>
            </w:r>
          </w:p>
        </w:tc>
        <w:tc>
          <w:tcPr>
            <w:tcW w:w="810" w:type="dxa"/>
          </w:tcPr>
          <w:p w14:paraId="75323C0D" w14:textId="66BECB4B" w:rsidR="002107CC" w:rsidRPr="005678C1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</w:pPr>
            <w:r w:rsidRPr="005678C1"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  <w:t>Effect</w:t>
            </w:r>
          </w:p>
        </w:tc>
        <w:tc>
          <w:tcPr>
            <w:tcW w:w="11520" w:type="dxa"/>
          </w:tcPr>
          <w:p w14:paraId="2336BD47" w14:textId="3B7D272F" w:rsidR="002107CC" w:rsidRPr="005678C1" w:rsidRDefault="00DE2F5E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</w:pPr>
            <w:r w:rsidRPr="005678C1"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  <w:t>Rationale</w:t>
            </w:r>
          </w:p>
        </w:tc>
      </w:tr>
      <w:tr w:rsidR="002107CC" w14:paraId="6B2DE54E" w14:textId="77777777" w:rsidTr="00286937">
        <w:tc>
          <w:tcPr>
            <w:tcW w:w="1615" w:type="dxa"/>
          </w:tcPr>
          <w:p w14:paraId="008E343C" w14:textId="6FD07C26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Income</w:t>
            </w:r>
          </w:p>
        </w:tc>
        <w:tc>
          <w:tcPr>
            <w:tcW w:w="810" w:type="dxa"/>
          </w:tcPr>
          <w:p w14:paraId="6A76A3A8" w14:textId="2C37C188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64715745" w14:textId="1BFD5C33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Income is a major factor for deciding credit limit and credit score accordingly as </w:t>
            </w:r>
            <w:r w:rsidR="003059AF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high-income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consumers have more ability to pay credit bill on time.</w:t>
            </w:r>
          </w:p>
        </w:tc>
      </w:tr>
      <w:tr w:rsidR="002107CC" w14:paraId="7405BB15" w14:textId="77777777" w:rsidTr="00286937">
        <w:tc>
          <w:tcPr>
            <w:tcW w:w="1615" w:type="dxa"/>
          </w:tcPr>
          <w:p w14:paraId="5AC2C91C" w14:textId="6B87BA05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Limit</w:t>
            </w:r>
          </w:p>
        </w:tc>
        <w:tc>
          <w:tcPr>
            <w:tcW w:w="810" w:type="dxa"/>
          </w:tcPr>
          <w:p w14:paraId="7DAA2709" w14:textId="7ED44990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03A88BBE" w14:textId="216C4B47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High credit limit indicates that banks trust more on these consumers because of their previous payment record as well as their earning ability</w:t>
            </w:r>
            <w:r w:rsidR="00FE55C3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.</w:t>
            </w:r>
          </w:p>
        </w:tc>
      </w:tr>
      <w:tr w:rsidR="002107CC" w14:paraId="1031A2BC" w14:textId="77777777" w:rsidTr="00286937">
        <w:tc>
          <w:tcPr>
            <w:tcW w:w="1615" w:type="dxa"/>
          </w:tcPr>
          <w:p w14:paraId="1AE70446" w14:textId="25202681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Age</w:t>
            </w:r>
          </w:p>
        </w:tc>
        <w:tc>
          <w:tcPr>
            <w:tcW w:w="810" w:type="dxa"/>
          </w:tcPr>
          <w:p w14:paraId="2B9BBDC8" w14:textId="5943B2EB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10CC7F05" w14:textId="6AA04ABD" w:rsidR="00FE55C3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Generally</w:t>
            </w:r>
            <w:r w:rsidR="005678C1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,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consumers with higher age earn more and have more ability to pay credit card bills which helps to improve their credit score.</w:t>
            </w:r>
          </w:p>
        </w:tc>
      </w:tr>
      <w:tr w:rsidR="002107CC" w14:paraId="0F73D62F" w14:textId="77777777" w:rsidTr="00286937">
        <w:tc>
          <w:tcPr>
            <w:tcW w:w="1615" w:type="dxa"/>
          </w:tcPr>
          <w:p w14:paraId="5B3CB773" w14:textId="7524825F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Education</w:t>
            </w:r>
          </w:p>
        </w:tc>
        <w:tc>
          <w:tcPr>
            <w:tcW w:w="810" w:type="dxa"/>
          </w:tcPr>
          <w:p w14:paraId="4356969C" w14:textId="14AA69D4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6BDCC4B9" w14:textId="2E978BA1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Consumers with </w:t>
            </w:r>
            <w:r w:rsidR="003059AF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more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number of education years tend to earn more and pay their credit card bills on time</w:t>
            </w:r>
          </w:p>
        </w:tc>
      </w:tr>
      <w:tr w:rsidR="002107CC" w14:paraId="18A5E43D" w14:textId="77777777" w:rsidTr="00286937">
        <w:tc>
          <w:tcPr>
            <w:tcW w:w="1615" w:type="dxa"/>
          </w:tcPr>
          <w:p w14:paraId="69EC8EFB" w14:textId="3F124FC6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Student</w:t>
            </w:r>
          </w:p>
        </w:tc>
        <w:tc>
          <w:tcPr>
            <w:tcW w:w="810" w:type="dxa"/>
          </w:tcPr>
          <w:p w14:paraId="33361F15" w14:textId="3C8B46DB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-</w:t>
            </w:r>
          </w:p>
        </w:tc>
        <w:tc>
          <w:tcPr>
            <w:tcW w:w="11520" w:type="dxa"/>
          </w:tcPr>
          <w:p w14:paraId="3E5331AF" w14:textId="22602FFF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Generally</w:t>
            </w:r>
            <w:r w:rsidR="005678C1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,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students earn less so there is a good possibility that they will not pay their credit card bills on time which affects negatively on the credit score.</w:t>
            </w:r>
          </w:p>
        </w:tc>
      </w:tr>
      <w:tr w:rsidR="002107CC" w14:paraId="0156130F" w14:textId="77777777" w:rsidTr="00286937">
        <w:tc>
          <w:tcPr>
            <w:tcW w:w="1615" w:type="dxa"/>
          </w:tcPr>
          <w:p w14:paraId="2F31AD96" w14:textId="3728E2C7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Married</w:t>
            </w:r>
          </w:p>
        </w:tc>
        <w:tc>
          <w:tcPr>
            <w:tcW w:w="810" w:type="dxa"/>
          </w:tcPr>
          <w:p w14:paraId="1FDD1A87" w14:textId="3690CCA7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004F6804" w14:textId="3F1F1440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Married people generally have more liabilities which keep them alert to pay bills on time in order to maintain good credit score </w:t>
            </w:r>
            <w:r w:rsidR="003059AF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to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have ability to lend more loans in future if required.</w:t>
            </w:r>
          </w:p>
        </w:tc>
      </w:tr>
      <w:tr w:rsidR="002107CC" w14:paraId="3AED642A" w14:textId="77777777" w:rsidTr="00286937">
        <w:tc>
          <w:tcPr>
            <w:tcW w:w="1615" w:type="dxa"/>
          </w:tcPr>
          <w:p w14:paraId="5E25E35E" w14:textId="5CFBF8E5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Balance</w:t>
            </w:r>
          </w:p>
        </w:tc>
        <w:tc>
          <w:tcPr>
            <w:tcW w:w="810" w:type="dxa"/>
          </w:tcPr>
          <w:p w14:paraId="6E9068D8" w14:textId="498842F5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351327DF" w14:textId="64998628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Consumers with high balance generally have ability to pay bills which impacts their credit score positively</w:t>
            </w:r>
            <w:r w:rsidR="00F771C5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.</w:t>
            </w:r>
          </w:p>
        </w:tc>
      </w:tr>
      <w:tr w:rsidR="00F771C5" w14:paraId="482DAE10" w14:textId="77777777" w:rsidTr="00286937">
        <w:tc>
          <w:tcPr>
            <w:tcW w:w="1615" w:type="dxa"/>
          </w:tcPr>
          <w:p w14:paraId="6A04EBA9" w14:textId="2B38298F" w:rsidR="00F771C5" w:rsidRDefault="00F771C5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Cards</w:t>
            </w:r>
          </w:p>
        </w:tc>
        <w:tc>
          <w:tcPr>
            <w:tcW w:w="810" w:type="dxa"/>
          </w:tcPr>
          <w:p w14:paraId="59D1ABB4" w14:textId="159293B8" w:rsidR="00F771C5" w:rsidRDefault="00F771C5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+/-</w:t>
            </w:r>
          </w:p>
        </w:tc>
        <w:tc>
          <w:tcPr>
            <w:tcW w:w="11520" w:type="dxa"/>
          </w:tcPr>
          <w:p w14:paraId="5BB4F527" w14:textId="33C4A086" w:rsidR="00F771C5" w:rsidRDefault="00F771C5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Generally</w:t>
            </w:r>
            <w:r w:rsidR="005678C1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,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consumers with </w:t>
            </w:r>
            <w:r w:rsidR="003059AF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more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number of cards tent to have more credit rating as more banks rely on them but if they are not paying bills on time then it might be </w:t>
            </w:r>
            <w:r w:rsidR="003059AF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affecting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their credit score negatively.</w:t>
            </w:r>
          </w:p>
        </w:tc>
      </w:tr>
    </w:tbl>
    <w:p w14:paraId="14E018ED" w14:textId="4B0AA20C" w:rsidR="005678C1" w:rsidRPr="003059AF" w:rsidRDefault="005678C1" w:rsidP="001213AF">
      <w:p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059AF">
        <w:rPr>
          <w:sz w:val="26"/>
          <w:szCs w:val="26"/>
        </w:rPr>
        <w:t xml:space="preserve">Variables which are not considered for prediction are as follows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00"/>
        <w:gridCol w:w="10435"/>
      </w:tblGrid>
      <w:tr w:rsidR="003059AF" w14:paraId="1DBBB64F" w14:textId="77777777" w:rsidTr="003059AF">
        <w:tc>
          <w:tcPr>
            <w:tcW w:w="1615" w:type="dxa"/>
          </w:tcPr>
          <w:p w14:paraId="50F43E2D" w14:textId="3D4E2268" w:rsidR="003059AF" w:rsidRPr="003059AF" w:rsidRDefault="003059AF" w:rsidP="001213AF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Predictor</w:t>
            </w:r>
          </w:p>
        </w:tc>
        <w:tc>
          <w:tcPr>
            <w:tcW w:w="900" w:type="dxa"/>
          </w:tcPr>
          <w:p w14:paraId="4502344A" w14:textId="1CCD99A1" w:rsidR="003059AF" w:rsidRPr="003059AF" w:rsidRDefault="003059AF" w:rsidP="001213AF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3059AF">
              <w:rPr>
                <w:b/>
                <w:bCs/>
                <w:sz w:val="28"/>
                <w:szCs w:val="28"/>
              </w:rPr>
              <w:t>Effect</w:t>
            </w:r>
          </w:p>
        </w:tc>
        <w:tc>
          <w:tcPr>
            <w:tcW w:w="10435" w:type="dxa"/>
          </w:tcPr>
          <w:p w14:paraId="009CE2F6" w14:textId="29AF8498" w:rsidR="003059AF" w:rsidRPr="003059AF" w:rsidRDefault="003059AF" w:rsidP="001213AF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3059AF">
              <w:rPr>
                <w:b/>
                <w:bCs/>
                <w:sz w:val="28"/>
                <w:szCs w:val="28"/>
              </w:rPr>
              <w:t>Rationale</w:t>
            </w:r>
          </w:p>
        </w:tc>
      </w:tr>
      <w:tr w:rsidR="003059AF" w14:paraId="049F76C9" w14:textId="77777777" w:rsidTr="003059AF">
        <w:tc>
          <w:tcPr>
            <w:tcW w:w="1615" w:type="dxa"/>
          </w:tcPr>
          <w:p w14:paraId="454DBE5B" w14:textId="5B12DC5E" w:rsidR="003059AF" w:rsidRPr="003059AF" w:rsidRDefault="003059AF" w:rsidP="001213A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900" w:type="dxa"/>
          </w:tcPr>
          <w:p w14:paraId="528C7D3D" w14:textId="7D9CE786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35" w:type="dxa"/>
          </w:tcPr>
          <w:p w14:paraId="72AD7CF3" w14:textId="37E08951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Required.</w:t>
            </w:r>
          </w:p>
        </w:tc>
      </w:tr>
      <w:tr w:rsidR="003059AF" w14:paraId="41E4F389" w14:textId="77777777" w:rsidTr="003059AF">
        <w:tc>
          <w:tcPr>
            <w:tcW w:w="1615" w:type="dxa"/>
          </w:tcPr>
          <w:p w14:paraId="749C9DE9" w14:textId="28E62024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Gender</w:t>
            </w:r>
          </w:p>
        </w:tc>
        <w:tc>
          <w:tcPr>
            <w:tcW w:w="900" w:type="dxa"/>
          </w:tcPr>
          <w:p w14:paraId="3762E9E2" w14:textId="1F6BD794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35" w:type="dxa"/>
          </w:tcPr>
          <w:p w14:paraId="68B34EDA" w14:textId="3C00BC59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 should not be a factor for deciding credit rating.</w:t>
            </w:r>
          </w:p>
        </w:tc>
      </w:tr>
      <w:tr w:rsidR="003059AF" w14:paraId="355ED9C8" w14:textId="77777777" w:rsidTr="003059AF">
        <w:tc>
          <w:tcPr>
            <w:tcW w:w="1615" w:type="dxa"/>
          </w:tcPr>
          <w:p w14:paraId="075FAFA8" w14:textId="516B48B3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Ethnicity</w:t>
            </w:r>
          </w:p>
        </w:tc>
        <w:tc>
          <w:tcPr>
            <w:tcW w:w="900" w:type="dxa"/>
          </w:tcPr>
          <w:p w14:paraId="7CE26E2F" w14:textId="1BD0CA87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35" w:type="dxa"/>
          </w:tcPr>
          <w:p w14:paraId="15A9FD15" w14:textId="03466699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Ethnicity should not be a factor for deciding the credit rating.</w:t>
            </w:r>
          </w:p>
        </w:tc>
      </w:tr>
    </w:tbl>
    <w:p w14:paraId="23CE7D8F" w14:textId="3EDA9AE7" w:rsidR="00321B5D" w:rsidRPr="005678C1" w:rsidRDefault="001213AF" w:rsidP="001213AF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5678C1">
        <w:rPr>
          <w:b/>
          <w:bCs/>
          <w:sz w:val="28"/>
          <w:szCs w:val="28"/>
        </w:rPr>
        <w:t>B</w:t>
      </w:r>
      <w:r w:rsidR="00F771C5" w:rsidRPr="005678C1">
        <w:rPr>
          <w:b/>
          <w:bCs/>
          <w:sz w:val="28"/>
          <w:szCs w:val="28"/>
        </w:rPr>
        <w:t>.</w:t>
      </w:r>
      <w:r w:rsidR="00F771C5" w:rsidRPr="005678C1">
        <w:rPr>
          <w:rFonts w:ascii="Helvetica Neue" w:hAnsi="Helvetica Neue"/>
          <w:color w:val="2D3B45"/>
          <w:sz w:val="28"/>
          <w:szCs w:val="28"/>
        </w:rPr>
        <w:t xml:space="preserve"> </w:t>
      </w:r>
      <w:r w:rsidR="00F771C5" w:rsidRPr="005678C1"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Next run relevant models to answer questions 1 and 2 above. No more than 2-3 models in all. Explain the rationale for your models. </w:t>
      </w:r>
    </w:p>
    <w:p w14:paraId="7B53EEFC" w14:textId="77777777" w:rsidR="00321B5D" w:rsidRPr="00321B5D" w:rsidRDefault="00321B5D" w:rsidP="00321B5D">
      <w:pPr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>=======================================================================================================</w:t>
      </w:r>
    </w:p>
    <w:p w14:paraId="5E042EF5" w14:textId="6C04E5DF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                                              Dependent variable:                                </w:t>
      </w:r>
    </w:p>
    <w:p w14:paraId="618A5F1E" w14:textId="77FF1E73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              -----------------------------------------------------------------------------------</w:t>
      </w:r>
    </w:p>
    <w:p w14:paraId="146FF43E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                                                      rating                                       </w:t>
      </w:r>
    </w:p>
    <w:p w14:paraId="25F9A90B" w14:textId="1416AE3F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                            (1)                  </w:t>
      </w:r>
      <w:r w:rsidR="003059AF"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</w:t>
      </w:r>
      <w:r w:rsidR="003059AF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</w:t>
      </w:r>
      <w:r w:rsidR="003059AF" w:rsidRPr="00321B5D">
        <w:rPr>
          <w:rFonts w:ascii="Courier New" w:eastAsia="Times New Roman" w:hAnsi="Courier New" w:cs="Courier New"/>
          <w:color w:val="2D3B45"/>
          <w:sz w:val="20"/>
          <w:szCs w:val="20"/>
        </w:rPr>
        <w:t>(</w:t>
      </w: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2)                         (3)            </w:t>
      </w:r>
    </w:p>
    <w:p w14:paraId="75D6DF83" w14:textId="77777777" w:rsidR="00321B5D" w:rsidRPr="00321B5D" w:rsidRDefault="00321B5D" w:rsidP="00321B5D">
      <w:pPr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>-------------------------------------------------------------------------------------------------------</w:t>
      </w:r>
    </w:p>
    <w:p w14:paraId="4F49A098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income                    0.120** (0.047)             0.121** (0.047)            0.123*** (0.047)      </w:t>
      </w:r>
    </w:p>
    <w:p w14:paraId="56A2D8BC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limit                    0.063*** (0.001)            0.063*** (0.001)            0.063*** (0.001)      </w:t>
      </w:r>
    </w:p>
    <w:p w14:paraId="40618541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cards                    4.597*** (0.391)            4.597*** (0.391)            4.596*** (0.391)      </w:t>
      </w:r>
    </w:p>
    <w:p w14:paraId="7841EA19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age                        0.015 (0.030)               0.015 (0.030)               0.013 (0.030)       </w:t>
      </w:r>
    </w:p>
    <w:p w14:paraId="13BEB8F8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education                 -0.240 (0.164)              -0.240 (0.164)              -0.235 (0.164)       </w:t>
      </w:r>
    </w:p>
    <w:p w14:paraId="16CACD8D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studentYes                -1.965 (2.792)              -2.003 (2.804)              -1.960 (2.793)       </w:t>
      </w:r>
    </w:p>
    <w:p w14:paraId="7D3C4A53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marriedYes                2.222** (1.050)             2.219** (1.052)             2.386** (1.057)      </w:t>
      </w:r>
    </w:p>
    <w:p w14:paraId="0CFC4386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balance                   0.012** (0.005)             0.012** (0.005)             0.012** (0.005)      </w:t>
      </w:r>
    </w:p>
    <w:p w14:paraId="44B71869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genderMale                                            -0.180 (1.020)                                   </w:t>
      </w:r>
    </w:p>
    <w:p w14:paraId="3F305ED8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ethnicityCaucasian                                                                -0.308 (1.254)       </w:t>
      </w:r>
    </w:p>
    <w:p w14:paraId="3DB3511F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ethnicityHispanic                                                                 -1.998 (1.447)       </w:t>
      </w:r>
    </w:p>
    <w:p w14:paraId="233BE522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Constant                 31.271*** (3.967)           31.380*** (4.021)           32.091*** (4.113)     </w:t>
      </w:r>
    </w:p>
    <w:p w14:paraId="4BD21F25" w14:textId="77777777" w:rsidR="00321B5D" w:rsidRPr="001213AF" w:rsidRDefault="00321B5D" w:rsidP="001213AF">
      <w:pPr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1213AF">
        <w:rPr>
          <w:rFonts w:ascii="Courier New" w:eastAsia="Times New Roman" w:hAnsi="Courier New" w:cs="Courier New"/>
          <w:color w:val="2D3B45"/>
          <w:sz w:val="20"/>
          <w:szCs w:val="20"/>
        </w:rPr>
        <w:t>-------------------------------------------------------------------------------------------------------</w:t>
      </w:r>
    </w:p>
    <w:p w14:paraId="5701A775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Observations                    400                         400                         400            </w:t>
      </w:r>
    </w:p>
    <w:p w14:paraId="7582053F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R2                             0.996                       0.996                       0.996           </w:t>
      </w:r>
    </w:p>
    <w:p w14:paraId="1810489C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Adjusted R2                    0.996                       0.996                       0.996           </w:t>
      </w:r>
    </w:p>
    <w:p w14:paraId="43BE52ED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Residual Std. Error      10.140 (df = 391)           10.152 (df = 390)           10.134 (df = 389)     </w:t>
      </w:r>
    </w:p>
    <w:p w14:paraId="77802829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>F Statistic         11,564.650*** (df = 8; 391) 10,254.220*** (df = 9; 390) 9,261.224*** (df = 10; 389)</w:t>
      </w:r>
    </w:p>
    <w:p w14:paraId="0A91937A" w14:textId="77777777" w:rsidR="00321B5D" w:rsidRPr="00321B5D" w:rsidRDefault="00321B5D" w:rsidP="00321B5D">
      <w:pPr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>=======================================================================================================</w:t>
      </w:r>
    </w:p>
    <w:p w14:paraId="3FD5388D" w14:textId="0DD35610" w:rsidR="008F0865" w:rsidRPr="001213AF" w:rsidRDefault="00321B5D" w:rsidP="001213AF">
      <w:pPr>
        <w:rPr>
          <w:b/>
          <w:bCs/>
          <w:sz w:val="24"/>
        </w:rPr>
      </w:pPr>
      <w:r w:rsidRPr="001213AF">
        <w:rPr>
          <w:rFonts w:ascii="Courier New" w:eastAsia="Times New Roman" w:hAnsi="Courier New" w:cs="Courier New"/>
          <w:color w:val="2D3B45"/>
          <w:sz w:val="20"/>
          <w:szCs w:val="20"/>
        </w:rPr>
        <w:lastRenderedPageBreak/>
        <w:t>Note:                                                                       *p&lt;0.1; **p&lt;0.05; ***p&lt;0.01</w:t>
      </w:r>
    </w:p>
    <w:p w14:paraId="70D1B8F6" w14:textId="0EBA0466" w:rsidR="00286937" w:rsidRDefault="00286937" w:rsidP="00286937">
      <w:pPr>
        <w:rPr>
          <w:rFonts w:ascii="Helvetica Neue" w:hAnsi="Helvetica Neue"/>
          <w:sz w:val="24"/>
        </w:rPr>
      </w:pPr>
      <w:r w:rsidRPr="00DE2F5E">
        <w:rPr>
          <w:rFonts w:ascii="Helvetica Neue" w:hAnsi="Helvetica Neue"/>
          <w:b/>
          <w:bCs/>
          <w:sz w:val="24"/>
        </w:rPr>
        <w:t>Rationale</w:t>
      </w:r>
      <w:r w:rsidR="00DE2F5E">
        <w:rPr>
          <w:rFonts w:ascii="Helvetica Neue" w:hAnsi="Helvetica Neue"/>
          <w:b/>
          <w:bCs/>
          <w:sz w:val="24"/>
        </w:rPr>
        <w:t xml:space="preserve">: </w:t>
      </w:r>
      <w:r w:rsidR="00DE2F5E">
        <w:rPr>
          <w:rFonts w:ascii="Helvetica Neue" w:hAnsi="Helvetica Neue"/>
          <w:sz w:val="24"/>
        </w:rPr>
        <w:t>I have added three models here</w:t>
      </w:r>
    </w:p>
    <w:p w14:paraId="114768E4" w14:textId="021CAB73" w:rsidR="00DE2F5E" w:rsidRPr="00DE2F5E" w:rsidRDefault="00DE2F5E" w:rsidP="00DE2F5E">
      <w:pPr>
        <w:pStyle w:val="ListParagraph"/>
        <w:numPr>
          <w:ilvl w:val="0"/>
          <w:numId w:val="8"/>
        </w:numPr>
        <w:rPr>
          <w:rFonts w:ascii="Helvetica Neue" w:hAnsi="Helvetica Neue"/>
          <w:sz w:val="24"/>
        </w:rPr>
      </w:pPr>
      <w:r w:rsidRPr="00DE2F5E">
        <w:rPr>
          <w:rFonts w:ascii="Helvetica Neue" w:hAnsi="Helvetica Neue"/>
          <w:sz w:val="24"/>
        </w:rPr>
        <w:t>1</w:t>
      </w:r>
      <w:r w:rsidRPr="00DE2F5E">
        <w:rPr>
          <w:rFonts w:ascii="Helvetica Neue" w:hAnsi="Helvetica Neue"/>
          <w:sz w:val="24"/>
          <w:vertAlign w:val="superscript"/>
        </w:rPr>
        <w:t>st</w:t>
      </w:r>
      <w:r w:rsidRPr="00DE2F5E">
        <w:rPr>
          <w:rFonts w:ascii="Helvetica Neue" w:hAnsi="Helvetica Neue"/>
          <w:sz w:val="24"/>
        </w:rPr>
        <w:t xml:space="preserve"> model is a basic model excluding gender and ethnicity</w:t>
      </w:r>
    </w:p>
    <w:p w14:paraId="096A5BEC" w14:textId="3797F58C" w:rsidR="00DE2F5E" w:rsidRPr="00DE2F5E" w:rsidRDefault="00DE2F5E" w:rsidP="00DE2F5E">
      <w:pPr>
        <w:pStyle w:val="ListParagraph"/>
        <w:numPr>
          <w:ilvl w:val="0"/>
          <w:numId w:val="8"/>
        </w:numPr>
        <w:rPr>
          <w:rFonts w:ascii="Helvetica Neue" w:hAnsi="Helvetica Neue"/>
          <w:sz w:val="24"/>
        </w:rPr>
      </w:pPr>
      <w:r w:rsidRPr="00DE2F5E">
        <w:rPr>
          <w:rFonts w:ascii="Helvetica Neue" w:hAnsi="Helvetica Neue"/>
          <w:sz w:val="24"/>
        </w:rPr>
        <w:t>Gender variable is added in 2</w:t>
      </w:r>
      <w:r w:rsidRPr="00DE2F5E">
        <w:rPr>
          <w:rFonts w:ascii="Helvetica Neue" w:hAnsi="Helvetica Neue"/>
          <w:sz w:val="24"/>
          <w:vertAlign w:val="superscript"/>
        </w:rPr>
        <w:t>nd</w:t>
      </w:r>
      <w:r w:rsidRPr="00DE2F5E">
        <w:rPr>
          <w:rFonts w:ascii="Helvetica Neue" w:hAnsi="Helvetica Neue"/>
          <w:sz w:val="24"/>
        </w:rPr>
        <w:t xml:space="preserve"> model for </w:t>
      </w:r>
      <w:r>
        <w:rPr>
          <w:rFonts w:ascii="Helvetica Neue" w:hAnsi="Helvetica Neue"/>
          <w:sz w:val="24"/>
        </w:rPr>
        <w:t>studying the effect of gender difference.</w:t>
      </w:r>
    </w:p>
    <w:p w14:paraId="5954C8E8" w14:textId="1CEEA2D9" w:rsidR="001213AF" w:rsidRPr="001213AF" w:rsidRDefault="00DE2F5E" w:rsidP="001213AF">
      <w:pPr>
        <w:pStyle w:val="ListParagraph"/>
        <w:numPr>
          <w:ilvl w:val="0"/>
          <w:numId w:val="8"/>
        </w:numPr>
        <w:rPr>
          <w:rFonts w:ascii="Helvetica Neue" w:hAnsi="Helvetica Neue"/>
          <w:sz w:val="24"/>
        </w:rPr>
      </w:pPr>
      <w:r>
        <w:rPr>
          <w:rFonts w:ascii="Helvetica Neue" w:hAnsi="Helvetica Neue"/>
          <w:sz w:val="24"/>
        </w:rPr>
        <w:t>Ethnicity variable is added in 3</w:t>
      </w:r>
      <w:r w:rsidRPr="00DE2F5E">
        <w:rPr>
          <w:rFonts w:ascii="Helvetica Neue" w:hAnsi="Helvetica Neue"/>
          <w:sz w:val="24"/>
          <w:vertAlign w:val="superscript"/>
        </w:rPr>
        <w:t>rd</w:t>
      </w:r>
      <w:r>
        <w:rPr>
          <w:rFonts w:ascii="Helvetica Neue" w:hAnsi="Helvetica Neue"/>
          <w:sz w:val="24"/>
        </w:rPr>
        <w:t xml:space="preserve"> model for studying the effect of ethnicity difference.</w:t>
      </w:r>
    </w:p>
    <w:p w14:paraId="364D899F" w14:textId="10722C4C" w:rsidR="001213AF" w:rsidRPr="005678C1" w:rsidRDefault="001213AF" w:rsidP="001213AF">
      <w:pPr>
        <w:rPr>
          <w:rFonts w:ascii="Helvetica Neue" w:hAnsi="Helvetica Neue"/>
          <w:sz w:val="28"/>
          <w:szCs w:val="28"/>
        </w:rPr>
      </w:pPr>
      <w:r w:rsidRPr="005678C1">
        <w:rPr>
          <w:rFonts w:ascii="Helvetica Neue" w:hAnsi="Helvetica Neue"/>
          <w:b/>
          <w:bCs/>
          <w:sz w:val="28"/>
          <w:szCs w:val="28"/>
        </w:rPr>
        <w:t>C.</w:t>
      </w:r>
      <w:r w:rsidRPr="005678C1">
        <w:rPr>
          <w:rFonts w:ascii="Helvetica Neue" w:hAnsi="Helvetica Neue"/>
          <w:sz w:val="28"/>
          <w:szCs w:val="28"/>
        </w:rPr>
        <w:t xml:space="preserve"> Interpretations are as follows – </w:t>
      </w:r>
    </w:p>
    <w:p w14:paraId="36C6BA0A" w14:textId="4B802E85" w:rsidR="001213AF" w:rsidRPr="005678C1" w:rsidRDefault="001213AF" w:rsidP="001213AF">
      <w:pPr>
        <w:rPr>
          <w:rFonts w:ascii="Helvetica Neue" w:hAnsi="Helvetica Neue"/>
          <w:sz w:val="26"/>
          <w:szCs w:val="26"/>
        </w:rPr>
      </w:pPr>
      <w:r w:rsidRPr="005678C1">
        <w:rPr>
          <w:rFonts w:ascii="Helvetica Neue" w:hAnsi="Helvetica Neue"/>
          <w:sz w:val="26"/>
          <w:szCs w:val="26"/>
        </w:rPr>
        <w:t xml:space="preserve">1. Variables which predict credit </w:t>
      </w:r>
      <w:r w:rsidR="003059AF" w:rsidRPr="005678C1">
        <w:rPr>
          <w:rFonts w:ascii="Helvetica Neue" w:hAnsi="Helvetica Neue"/>
          <w:sz w:val="26"/>
          <w:szCs w:val="26"/>
        </w:rPr>
        <w:t>score,</w:t>
      </w:r>
      <w:r w:rsidRPr="005678C1">
        <w:rPr>
          <w:rFonts w:ascii="Helvetica Neue" w:hAnsi="Helvetica Neue"/>
          <w:sz w:val="26"/>
          <w:szCs w:val="26"/>
        </w:rPr>
        <w:t xml:space="preserve"> and their impact</w:t>
      </w:r>
      <w:r w:rsidR="00643F86">
        <w:rPr>
          <w:rFonts w:ascii="Helvetica Neue" w:hAnsi="Helvetica Neue"/>
          <w:sz w:val="26"/>
          <w:szCs w:val="26"/>
        </w:rPr>
        <w:t>s</w:t>
      </w:r>
      <w:r w:rsidRPr="005678C1">
        <w:rPr>
          <w:rFonts w:ascii="Helvetica Neue" w:hAnsi="Helvetica Neue"/>
          <w:sz w:val="26"/>
          <w:szCs w:val="26"/>
        </w:rPr>
        <w:t xml:space="preserve"> are as follows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425"/>
      </w:tblGrid>
      <w:tr w:rsidR="001213AF" w14:paraId="35FF1468" w14:textId="77777777" w:rsidTr="001213AF">
        <w:tc>
          <w:tcPr>
            <w:tcW w:w="1525" w:type="dxa"/>
          </w:tcPr>
          <w:p w14:paraId="07BE7AB9" w14:textId="09BB72BF" w:rsidR="001213AF" w:rsidRPr="005678C1" w:rsidRDefault="001213AF" w:rsidP="001213AF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 w:rsidRPr="005678C1">
              <w:rPr>
                <w:rFonts w:ascii="Helvetica Neue" w:hAnsi="Helvetica Neue"/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11425" w:type="dxa"/>
          </w:tcPr>
          <w:p w14:paraId="3176CF65" w14:textId="381DF278" w:rsidR="001213AF" w:rsidRPr="005678C1" w:rsidRDefault="001213AF" w:rsidP="001213AF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 w:rsidRPr="005678C1">
              <w:rPr>
                <w:rFonts w:ascii="Helvetica Neue" w:hAnsi="Helvetica Neue"/>
                <w:b/>
                <w:bCs/>
                <w:sz w:val="28"/>
                <w:szCs w:val="28"/>
              </w:rPr>
              <w:t>Impact</w:t>
            </w:r>
          </w:p>
        </w:tc>
      </w:tr>
      <w:tr w:rsidR="001213AF" w14:paraId="2479FFDB" w14:textId="77777777" w:rsidTr="001213AF">
        <w:tc>
          <w:tcPr>
            <w:tcW w:w="1525" w:type="dxa"/>
          </w:tcPr>
          <w:p w14:paraId="15BEB4E6" w14:textId="1CA90481" w:rsidR="001213AF" w:rsidRDefault="001213AF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Income</w:t>
            </w:r>
          </w:p>
        </w:tc>
        <w:tc>
          <w:tcPr>
            <w:tcW w:w="11425" w:type="dxa"/>
          </w:tcPr>
          <w:p w14:paraId="502E8A3C" w14:textId="6EC2B73B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 xml:space="preserve">Addition of $1000 in income increases credit rating by 0.120 </w:t>
            </w:r>
          </w:p>
        </w:tc>
      </w:tr>
      <w:tr w:rsidR="001213AF" w14:paraId="4EAD749D" w14:textId="77777777" w:rsidTr="001213AF">
        <w:tc>
          <w:tcPr>
            <w:tcW w:w="1525" w:type="dxa"/>
          </w:tcPr>
          <w:p w14:paraId="77594926" w14:textId="75F48760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Limit</w:t>
            </w:r>
          </w:p>
        </w:tc>
        <w:tc>
          <w:tcPr>
            <w:tcW w:w="11425" w:type="dxa"/>
          </w:tcPr>
          <w:p w14:paraId="375839C8" w14:textId="28E4A931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 xml:space="preserve">Addition of $1000 in </w:t>
            </w:r>
            <w:r>
              <w:rPr>
                <w:rFonts w:ascii="Helvetica Neue" w:hAnsi="Helvetica Neue"/>
                <w:sz w:val="24"/>
              </w:rPr>
              <w:t>limit</w:t>
            </w:r>
            <w:r>
              <w:rPr>
                <w:rFonts w:ascii="Helvetica Neue" w:hAnsi="Helvetica Neue"/>
                <w:sz w:val="24"/>
              </w:rPr>
              <w:t xml:space="preserve"> increases credit rating by 0.</w:t>
            </w:r>
            <w:r>
              <w:rPr>
                <w:rFonts w:ascii="Helvetica Neue" w:hAnsi="Helvetica Neue"/>
                <w:sz w:val="24"/>
              </w:rPr>
              <w:t>063</w:t>
            </w:r>
          </w:p>
        </w:tc>
      </w:tr>
      <w:tr w:rsidR="001213AF" w14:paraId="53FA260F" w14:textId="77777777" w:rsidTr="001213AF">
        <w:tc>
          <w:tcPr>
            <w:tcW w:w="1525" w:type="dxa"/>
          </w:tcPr>
          <w:p w14:paraId="6F5F8565" w14:textId="01BAED23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Cards</w:t>
            </w:r>
          </w:p>
        </w:tc>
        <w:tc>
          <w:tcPr>
            <w:tcW w:w="11425" w:type="dxa"/>
          </w:tcPr>
          <w:p w14:paraId="3E8D7624" w14:textId="4C48FB38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 xml:space="preserve">Addition of </w:t>
            </w:r>
            <w:r>
              <w:rPr>
                <w:rFonts w:ascii="Helvetica Neue" w:hAnsi="Helvetica Neue"/>
                <w:sz w:val="24"/>
              </w:rPr>
              <w:t>card</w:t>
            </w:r>
            <w:r>
              <w:rPr>
                <w:rFonts w:ascii="Helvetica Neue" w:hAnsi="Helvetica Neue"/>
                <w:sz w:val="24"/>
              </w:rPr>
              <w:t xml:space="preserve"> increases credit rating by </w:t>
            </w:r>
            <w:r>
              <w:rPr>
                <w:rFonts w:ascii="Helvetica Neue" w:hAnsi="Helvetica Neue"/>
                <w:sz w:val="24"/>
              </w:rPr>
              <w:t>4.5</w:t>
            </w:r>
          </w:p>
        </w:tc>
      </w:tr>
      <w:tr w:rsidR="001213AF" w14:paraId="4CB69CED" w14:textId="77777777" w:rsidTr="001213AF">
        <w:tc>
          <w:tcPr>
            <w:tcW w:w="1525" w:type="dxa"/>
          </w:tcPr>
          <w:p w14:paraId="3E92E544" w14:textId="75DC949E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Age</w:t>
            </w:r>
          </w:p>
        </w:tc>
        <w:tc>
          <w:tcPr>
            <w:tcW w:w="11425" w:type="dxa"/>
          </w:tcPr>
          <w:p w14:paraId="2472370C" w14:textId="54D62329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Credit rating increases by 0.015 by each year</w:t>
            </w:r>
          </w:p>
        </w:tc>
      </w:tr>
      <w:tr w:rsidR="001213AF" w14:paraId="08B95E0B" w14:textId="77777777" w:rsidTr="001213AF">
        <w:tc>
          <w:tcPr>
            <w:tcW w:w="1525" w:type="dxa"/>
          </w:tcPr>
          <w:p w14:paraId="14AF1A93" w14:textId="096405F3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Student</w:t>
            </w:r>
          </w:p>
        </w:tc>
        <w:tc>
          <w:tcPr>
            <w:tcW w:w="11425" w:type="dxa"/>
          </w:tcPr>
          <w:p w14:paraId="1C9B3127" w14:textId="5A50AE20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Credit rating decreases by 1.965 if consumer is a student</w:t>
            </w:r>
          </w:p>
        </w:tc>
      </w:tr>
      <w:tr w:rsidR="001213AF" w14:paraId="08826D6D" w14:textId="77777777" w:rsidTr="001213AF">
        <w:tc>
          <w:tcPr>
            <w:tcW w:w="1525" w:type="dxa"/>
          </w:tcPr>
          <w:p w14:paraId="4A597A4D" w14:textId="022EF322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Married</w:t>
            </w:r>
          </w:p>
        </w:tc>
        <w:tc>
          <w:tcPr>
            <w:tcW w:w="11425" w:type="dxa"/>
          </w:tcPr>
          <w:p w14:paraId="65B5BF8D" w14:textId="24BB291B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Credit rating increases 2.22 for married consumers</w:t>
            </w:r>
          </w:p>
        </w:tc>
      </w:tr>
      <w:tr w:rsidR="001213AF" w14:paraId="4581CB7B" w14:textId="77777777" w:rsidTr="001213AF">
        <w:tc>
          <w:tcPr>
            <w:tcW w:w="1525" w:type="dxa"/>
          </w:tcPr>
          <w:p w14:paraId="0EACA2FA" w14:textId="52EBBB3E" w:rsidR="001213AF" w:rsidRDefault="00B902E6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Balance</w:t>
            </w:r>
          </w:p>
        </w:tc>
        <w:tc>
          <w:tcPr>
            <w:tcW w:w="11425" w:type="dxa"/>
          </w:tcPr>
          <w:p w14:paraId="0FF50307" w14:textId="6801AED0" w:rsidR="001213AF" w:rsidRDefault="00B902E6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 xml:space="preserve">Addition of $1000 in </w:t>
            </w:r>
            <w:r>
              <w:rPr>
                <w:rFonts w:ascii="Helvetica Neue" w:hAnsi="Helvetica Neue"/>
                <w:sz w:val="24"/>
              </w:rPr>
              <w:t>balance</w:t>
            </w:r>
            <w:r>
              <w:rPr>
                <w:rFonts w:ascii="Helvetica Neue" w:hAnsi="Helvetica Neue"/>
                <w:sz w:val="24"/>
              </w:rPr>
              <w:t xml:space="preserve"> increases credit rating by 0.0</w:t>
            </w:r>
            <w:r>
              <w:rPr>
                <w:rFonts w:ascii="Helvetica Neue" w:hAnsi="Helvetica Neue"/>
                <w:sz w:val="24"/>
              </w:rPr>
              <w:t>12</w:t>
            </w:r>
          </w:p>
        </w:tc>
      </w:tr>
    </w:tbl>
    <w:p w14:paraId="20928BA2" w14:textId="3B3328E1" w:rsidR="001213AF" w:rsidRDefault="00B902E6" w:rsidP="001213AF">
      <w:pPr>
        <w:rPr>
          <w:rFonts w:ascii="Helvetica Neue" w:hAnsi="Helvetica Neue"/>
          <w:sz w:val="24"/>
        </w:rPr>
      </w:pPr>
      <w:r>
        <w:rPr>
          <w:rFonts w:ascii="Helvetica Neue" w:hAnsi="Helvetica Neue"/>
          <w:sz w:val="24"/>
        </w:rPr>
        <w:t>*</w:t>
      </w:r>
      <w:r w:rsidR="006D7DE7">
        <w:rPr>
          <w:rFonts w:ascii="Helvetica Neue" w:hAnsi="Helvetica Neue"/>
          <w:sz w:val="24"/>
        </w:rPr>
        <w:t>Increase in education is decreasing the credit rating which is indicating some discrepancy in data</w:t>
      </w:r>
      <w:r>
        <w:rPr>
          <w:rFonts w:ascii="Helvetica Neue" w:hAnsi="Helvetica Neue"/>
          <w:sz w:val="24"/>
        </w:rPr>
        <w:t xml:space="preserve">. </w:t>
      </w:r>
      <w:r w:rsidR="003059AF">
        <w:rPr>
          <w:rFonts w:ascii="Helvetica Neue" w:hAnsi="Helvetica Neue"/>
          <w:sz w:val="24"/>
        </w:rPr>
        <w:t>Also,</w:t>
      </w:r>
      <w:r>
        <w:rPr>
          <w:rFonts w:ascii="Helvetica Neue" w:hAnsi="Helvetica Neue"/>
          <w:sz w:val="24"/>
        </w:rPr>
        <w:t xml:space="preserve"> we don’t fail to prove that education is a significant factor.</w:t>
      </w:r>
    </w:p>
    <w:p w14:paraId="419CA860" w14:textId="113B8718" w:rsidR="0002155B" w:rsidRPr="005678C1" w:rsidRDefault="00B902E6" w:rsidP="0002155B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6"/>
          <w:szCs w:val="26"/>
        </w:rPr>
      </w:pPr>
      <w:r w:rsidRPr="005678C1">
        <w:rPr>
          <w:rFonts w:ascii="Helvetica Neue" w:hAnsi="Helvetica Neue"/>
          <w:sz w:val="26"/>
          <w:szCs w:val="26"/>
        </w:rPr>
        <w:t>2.</w:t>
      </w:r>
      <w:r w:rsidR="0002155B" w:rsidRPr="005678C1">
        <w:rPr>
          <w:rFonts w:ascii="Helvetica Neue" w:hAnsi="Helvetica Neue"/>
          <w:color w:val="2D3B45"/>
          <w:sz w:val="26"/>
          <w:szCs w:val="26"/>
        </w:rPr>
        <w:t xml:space="preserve"> </w:t>
      </w:r>
      <w:r w:rsidR="0002155B" w:rsidRPr="005678C1">
        <w:rPr>
          <w:rFonts w:ascii="Helvetica Neue" w:eastAsia="Times New Roman" w:hAnsi="Helvetica Neue" w:cs="Times New Roman"/>
          <w:color w:val="2D3B45"/>
          <w:sz w:val="26"/>
          <w:szCs w:val="26"/>
        </w:rPr>
        <w:t>Is there a racial or gender bias on credit score? If so, by how much?</w:t>
      </w:r>
    </w:p>
    <w:p w14:paraId="3FE02614" w14:textId="7015AC09" w:rsidR="0002155B" w:rsidRDefault="0002155B" w:rsidP="0002155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There is no major racial bias observed. But one thing to note that comparatively African Americans are having higher credit rating than Caucasians (lower by 0.308 than </w:t>
      </w:r>
      <w:r w:rsidR="003059AF">
        <w:rPr>
          <w:rFonts w:ascii="Helvetica Neue" w:eastAsia="Times New Roman" w:hAnsi="Helvetica Neue" w:cs="Times New Roman"/>
          <w:color w:val="2D3B45"/>
          <w:sz w:val="24"/>
          <w:szCs w:val="24"/>
        </w:rPr>
        <w:t>African Americans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) and Hispanics 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>(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>lower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 by 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1.998 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308 than </w:t>
      </w:r>
      <w:r w:rsidR="003059AF">
        <w:rPr>
          <w:rFonts w:ascii="Helvetica Neue" w:eastAsia="Times New Roman" w:hAnsi="Helvetica Neue" w:cs="Times New Roman"/>
          <w:color w:val="2D3B45"/>
          <w:sz w:val="24"/>
          <w:szCs w:val="24"/>
        </w:rPr>
        <w:t>African Americans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>)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>.</w:t>
      </w:r>
    </w:p>
    <w:p w14:paraId="33BA64AF" w14:textId="656BFB29" w:rsidR="0002155B" w:rsidRPr="0002155B" w:rsidRDefault="0002155B" w:rsidP="0002155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There is no major gender bias observed. (Females have credit scores higher by 0.180 than males) 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 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 </w:t>
      </w:r>
    </w:p>
    <w:p w14:paraId="219F8114" w14:textId="31F43894" w:rsidR="00B902E6" w:rsidRPr="001213AF" w:rsidRDefault="00B902E6" w:rsidP="001213AF">
      <w:pPr>
        <w:rPr>
          <w:rFonts w:ascii="Helvetica Neue" w:hAnsi="Helvetica Neue"/>
          <w:sz w:val="24"/>
        </w:rPr>
      </w:pPr>
    </w:p>
    <w:sectPr w:rsidR="00B902E6" w:rsidRPr="001213AF" w:rsidSect="00321B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753"/>
    <w:multiLevelType w:val="hybridMultilevel"/>
    <w:tmpl w:val="E99A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28B"/>
    <w:multiLevelType w:val="hybridMultilevel"/>
    <w:tmpl w:val="EBDC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2815"/>
    <w:multiLevelType w:val="multilevel"/>
    <w:tmpl w:val="DC9E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94E98"/>
    <w:multiLevelType w:val="hybridMultilevel"/>
    <w:tmpl w:val="B1A81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1B6E"/>
    <w:multiLevelType w:val="hybridMultilevel"/>
    <w:tmpl w:val="EA64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000A9"/>
    <w:multiLevelType w:val="multilevel"/>
    <w:tmpl w:val="EE0A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403AF"/>
    <w:multiLevelType w:val="multilevel"/>
    <w:tmpl w:val="DBE8ED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60077"/>
    <w:multiLevelType w:val="hybridMultilevel"/>
    <w:tmpl w:val="2CA4DC7E"/>
    <w:lvl w:ilvl="0" w:tplc="479CB43E">
      <w:start w:val="1"/>
      <w:numFmt w:val="decimal"/>
      <w:lvlText w:val="%1."/>
      <w:lvlJc w:val="left"/>
      <w:pPr>
        <w:ind w:left="144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E45289"/>
    <w:multiLevelType w:val="hybridMultilevel"/>
    <w:tmpl w:val="3EF4678A"/>
    <w:lvl w:ilvl="0" w:tplc="479CB4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E5269"/>
    <w:multiLevelType w:val="hybridMultilevel"/>
    <w:tmpl w:val="9858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65"/>
    <w:rsid w:val="0002155B"/>
    <w:rsid w:val="001213AF"/>
    <w:rsid w:val="002107CC"/>
    <w:rsid w:val="00286937"/>
    <w:rsid w:val="003059AF"/>
    <w:rsid w:val="00321B5D"/>
    <w:rsid w:val="00335D7B"/>
    <w:rsid w:val="005678C1"/>
    <w:rsid w:val="00643F86"/>
    <w:rsid w:val="006C2A2B"/>
    <w:rsid w:val="006D7DE7"/>
    <w:rsid w:val="008F0865"/>
    <w:rsid w:val="00B902E6"/>
    <w:rsid w:val="00D700DE"/>
    <w:rsid w:val="00D8317A"/>
    <w:rsid w:val="00DE2F5E"/>
    <w:rsid w:val="00F771C5"/>
    <w:rsid w:val="00FE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4925"/>
  <w15:chartTrackingRefBased/>
  <w15:docId w15:val="{C3B1F9CA-4960-49F4-AAAB-BF1ECB0C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65"/>
    <w:pPr>
      <w:ind w:left="720"/>
      <w:contextualSpacing/>
    </w:pPr>
  </w:style>
  <w:style w:type="table" w:styleId="TableGrid">
    <w:name w:val="Table Grid"/>
    <w:basedOn w:val="TableNormal"/>
    <w:uiPriority w:val="39"/>
    <w:rsid w:val="0021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ACC2C-6145-470A-B0DC-DF6085FD7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Kulkarni</dc:creator>
  <cp:keywords/>
  <dc:description/>
  <cp:lastModifiedBy>Tejas Kulkarni</cp:lastModifiedBy>
  <cp:revision>2</cp:revision>
  <dcterms:created xsi:type="dcterms:W3CDTF">2021-08-30T02:37:00Z</dcterms:created>
  <dcterms:modified xsi:type="dcterms:W3CDTF">2021-08-30T21:26:00Z</dcterms:modified>
</cp:coreProperties>
</file>