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E3B31" w14:textId="77777777" w:rsidR="00517401" w:rsidRDefault="00000000">
      <w:pPr>
        <w:pStyle w:val="Heading1"/>
      </w:pPr>
      <w:r>
        <w:t>Responsible Governance in the LMM Proof of Concept</w:t>
      </w:r>
    </w:p>
    <w:p w14:paraId="3C6190D5" w14:textId="77777777" w:rsidR="00517401" w:rsidRDefault="00000000">
      <w:r>
        <w:t>This STAR example covers responsible governance and ethical data practices in the Large Multi-Modal Proof of Concept project, from August 2025 to April 2026.</w:t>
      </w:r>
    </w:p>
    <w:p w14:paraId="05FE008B" w14:textId="77777777" w:rsidR="00517401" w:rsidRDefault="00000000">
      <w:pPr>
        <w:pStyle w:val="Heading2"/>
      </w:pPr>
      <w:r>
        <w:t>Situation</w:t>
      </w:r>
    </w:p>
    <w:p w14:paraId="7C677AB5" w14:textId="77777777" w:rsidR="00517401" w:rsidRDefault="00000000">
      <w:r>
        <w:t>I was building an information extraction pipeline for the ATO that would process sensitive taxpayer financial documents — receipts, invoices, bank statements, and travel itineraries — using Vision Language Models. These documents contain personal names, ABNs, bank account details, and transaction histories. Any design decision that exposed this data outside the ATO network, embedded it in model weights, or introduced systematic bias in extraction accuracy would be a governance failure. At the same time, the commercial alternative — cloud-hosted APIs such as OpenAI or Google Document AI — would require sending taxpayer documents to external servers, which was not acceptable under ATO data governance policy.</w:t>
      </w:r>
    </w:p>
    <w:p w14:paraId="28DB6405" w14:textId="77777777" w:rsidR="00517401" w:rsidRDefault="00000000">
      <w:pPr>
        <w:pStyle w:val="Heading2"/>
      </w:pPr>
      <w:r>
        <w:t>Task</w:t>
      </w:r>
    </w:p>
    <w:p w14:paraId="0398EDCF" w14:textId="77777777" w:rsidR="00517401" w:rsidRDefault="00000000">
      <w:r>
        <w:t>I needed to make architectural and tooling choices that satisfied both the technical requirements (accurate extraction at production throughput) and the governance requirements (data sovereignty, no data leakage, bias transparency) — not as an afterthought, but as constraints that shaped the design from the start.</w:t>
      </w:r>
    </w:p>
    <w:p w14:paraId="1CE7D772" w14:textId="77777777" w:rsidR="00517401" w:rsidRDefault="00000000">
      <w:pPr>
        <w:pStyle w:val="Heading2"/>
      </w:pPr>
      <w:r>
        <w:t>Action</w:t>
      </w:r>
    </w:p>
    <w:p w14:paraId="05410191" w14:textId="77777777" w:rsidR="00517401" w:rsidRDefault="00000000">
      <w:pPr>
        <w:pStyle w:val="Heading3"/>
      </w:pPr>
      <w:r>
        <w:t>Air-Gapped Inference with Open-Weight Models</w:t>
      </w:r>
    </w:p>
    <w:p w14:paraId="29E5C04A" w14:textId="79E5A3BC" w:rsidR="00517401" w:rsidRDefault="009C7C2B">
      <w:r>
        <w:t xml:space="preserve">The PL191 requirements specified open-weight VLMs (InternVL3, Llama-Vision) running on our self-managed GPU cluster rather than cloud-hosted APIs. This architecture meant taxpayer documents never left the ATO network — all inference runs on-premises. I configured the vLLM inference engine with usage telemetry disabled (VLLM_NO_USAGE_STATS) to prevent any metadata from reaching external servers, which also avoided TLS certificate errors in our air-gapped environment. Because the model weights are open-weight and hosted locally, they are fully auditable — there is no black-box API whose behaviour we cannot inspect.</w:t>
      </w:r>
    </w:p>
    <w:p w14:paraId="6E0E9B97" w14:textId="77777777" w:rsidR="00517401" w:rsidRDefault="00000000">
      <w:pPr>
        <w:pStyle w:val="Heading3"/>
      </w:pPr>
      <w:r>
        <w:t>Prompt-Based Extraction: No Fine-Tuning, No Data Memorisation</w:t>
      </w:r>
    </w:p>
    <w:p w14:paraId="4173DF59" w14:textId="77777777" w:rsidR="00517401" w:rsidRDefault="00000000">
      <w:r>
        <w:t xml:space="preserve">The PL191 requirements specified prompt-based extraction with no fine-tuning, which I recognised also carried a significant data governance advantage. Fine-tuned models can memorise and regurgitate training data — a known privacy risk when the training set contains real taxpayer information. With prompt-based extraction, the model weights are never modified by our data: I write a generic extraction prompt, the model processes the document image at inference time, and no taxpayer information persists in the model after the request completes. This eliminated an entire class of data leakage risk.</w:t>
      </w:r>
    </w:p>
    <w:p w14:paraId="154C3DF7" w14:textId="77777777" w:rsidR="00517401" w:rsidRDefault="00000000">
      <w:r>
        <w:t xml:space="preserve">I also enforced strict prompt hygiene: extraction prompts must never contain image-specific data such as real store names, amounts, or transaction descriptions. All examples in prompts </w:t>
      </w:r>
      <w:r>
        <w:lastRenderedPageBreak/>
        <w:t>use fictitious merchant names that do not appear in evaluation data. This prevents the model from being primed with real taxpayer information and ensures prompts are portable across document sets.</w:t>
      </w:r>
    </w:p>
    <w:p w14:paraId="28F1DE09" w14:textId="77777777" w:rsidR="00517401" w:rsidRDefault="00000000">
      <w:pPr>
        <w:pStyle w:val="Heading3"/>
      </w:pPr>
      <w:r>
        <w:t>Synthetic Evaluation Data and Data Segregation</w:t>
      </w:r>
    </w:p>
    <w:p w14:paraId="61DFC6AD" w14:textId="77777777" w:rsidR="00517401" w:rsidRDefault="00000000">
      <w:r>
        <w:t>For development and testing, I created synthetic document images — generated receipts, invoices, and bank statements with fabricated data — so that I could iterate on prompts and evaluation logic without touching real taxpayer documents. Real evaluation data was restricted to the production GPU cluster, stored on shared network storage (EFS), and excluded from version control via .gitignore rules. Model output CSVs were generated remotely and never committed to the repository. This separation meant the codebase could be shared, reviewed, and demonstrated without any risk of exposing protected data.</w:t>
      </w:r>
    </w:p>
    <w:p w14:paraId="60D5B8A8" w14:textId="77777777" w:rsidR="00517401" w:rsidRDefault="00000000">
      <w:pPr>
        <w:pStyle w:val="Heading3"/>
      </w:pPr>
      <w:r>
        <w:t>Bias Transparency Through the Evaluation Framework</w:t>
      </w:r>
    </w:p>
    <w:p w14:paraId="0219EEC2" w14:textId="77777777" w:rsidR="00517401" w:rsidRDefault="00000000">
      <w:r>
        <w:t>I built the evaluation framework to surface systematic biases rather than hide them behind an aggregate accuracy number. The F1 scoring breaks down extraction accuracy by document type, by field category (monetary, date, text, list), and by individual field. This makes it immediately visible if the model performs worse on handwritten documents than printed ones, or if it systematically misreads amounts on bank statements but not receipts. I also implemented evaluation equivalence classes — for example, invoice and receipt share the same field schema, so a model predicting one when the ground truth is the other is not penalised for the document type field — which prevents the evaluation itself from introducing false bias signals.</w:t>
      </w:r>
    </w:p>
    <w:p w14:paraId="37E94744" w14:textId="77777777" w:rsidR="00517401" w:rsidRDefault="00000000">
      <w:pPr>
        <w:pStyle w:val="Heading3"/>
      </w:pPr>
      <w:r>
        <w:t>PyTorch for Auditability</w:t>
      </w:r>
    </w:p>
    <w:p w14:paraId="0B5FDDCA" w14:textId="77777777" w:rsidR="00517401" w:rsidRDefault="00000000">
      <w:r>
        <w:t>I used PyTorch directly rather than higher-level abstraction frameworks because it gives full visibility into the inference pipeline: how images are preprocessed, how tokens are generated, how memory is managed. When a governance question arises — "what exactly happens to a taxpayer’s bank statement image during processing?" — I can trace every step in the code. This auditability would not be possible with a black-box cloud API or a heavily abstracted framework that obscures the data flow.</w:t>
      </w:r>
    </w:p>
    <w:p w14:paraId="77CC4FF1" w14:textId="77777777" w:rsidR="00517401" w:rsidRDefault="00000000">
      <w:pPr>
        <w:pStyle w:val="Heading2"/>
      </w:pPr>
      <w:r>
        <w:t>Result</w:t>
      </w:r>
    </w:p>
    <w:p w14:paraId="7423CE47" w14:textId="77777777" w:rsidR="00517401" w:rsidRDefault="00000000">
      <w:r>
        <w:t>The pipeline processes sensitive taxpayer documents with governance built into the architecture, not bolted on after the fact:</w:t>
      </w:r>
    </w:p>
    <w:p w14:paraId="1CAD720E" w14:textId="77777777" w:rsidR="00517401" w:rsidRDefault="00000000">
      <w:pPr>
        <w:pStyle w:val="ListBullet"/>
      </w:pPr>
      <w:r>
        <w:t>Data sovereignty: all inference runs on-premises on ATO-managed GPUs. No taxpayer data is sent to external APIs, cloud services, or telemetry endpoints.</w:t>
      </w:r>
    </w:p>
    <w:p w14:paraId="44FD4B18" w14:textId="77777777" w:rsidR="00517401" w:rsidRDefault="00000000">
      <w:pPr>
        <w:pStyle w:val="ListBullet"/>
      </w:pPr>
      <w:r>
        <w:t>No data memorisation: prompt-based extraction means model weights are never modified by taxpayer data. No fine-tuning, no risk of regurgitation.</w:t>
      </w:r>
    </w:p>
    <w:p w14:paraId="4436A08D" w14:textId="77777777" w:rsidR="00517401" w:rsidRDefault="00000000">
      <w:pPr>
        <w:pStyle w:val="ListBullet"/>
      </w:pPr>
      <w:r>
        <w:t>Bias transparency: per-document-type and per-field-category evaluation breakdowns make systematic biases visible and measurable, rather than hidden in aggregate scores.</w:t>
      </w:r>
    </w:p>
    <w:p w14:paraId="7EBA09F9" w14:textId="77777777" w:rsidR="00517401" w:rsidRDefault="00000000">
      <w:pPr>
        <w:pStyle w:val="ListBullet"/>
      </w:pPr>
      <w:r>
        <w:t>Data segregation: synthetic data for development, real data restricted to production, nothing sensitive in version control.</w:t>
      </w:r>
    </w:p>
    <w:p w14:paraId="421DA3F9" w14:textId="77777777" w:rsidR="00517401" w:rsidRDefault="00000000">
      <w:pPr>
        <w:pStyle w:val="ListBullet"/>
      </w:pPr>
      <w:r>
        <w:lastRenderedPageBreak/>
        <w:t>Auditability: open-weight models and PyTorch-level control mean every step of the data flow can be inspected and explained.</w:t>
      </w:r>
    </w:p>
    <w:sectPr w:rsidR="005174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2419472">
    <w:abstractNumId w:val="8"/>
  </w:num>
  <w:num w:numId="2" w16cid:durableId="702512933">
    <w:abstractNumId w:val="6"/>
  </w:num>
  <w:num w:numId="3" w16cid:durableId="1835299040">
    <w:abstractNumId w:val="5"/>
  </w:num>
  <w:num w:numId="4" w16cid:durableId="811672370">
    <w:abstractNumId w:val="4"/>
  </w:num>
  <w:num w:numId="5" w16cid:durableId="976183029">
    <w:abstractNumId w:val="7"/>
  </w:num>
  <w:num w:numId="6" w16cid:durableId="1667241453">
    <w:abstractNumId w:val="3"/>
  </w:num>
  <w:num w:numId="7" w16cid:durableId="508640349">
    <w:abstractNumId w:val="2"/>
  </w:num>
  <w:num w:numId="8" w16cid:durableId="892808030">
    <w:abstractNumId w:val="1"/>
  </w:num>
  <w:num w:numId="9" w16cid:durableId="1818498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7401"/>
    <w:rsid w:val="009C7C2B"/>
    <w:rsid w:val="00AA1D8D"/>
    <w:rsid w:val="00B47730"/>
    <w:rsid w:val="00C36D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532C26"/>
  <w14:defaultImageDpi w14:val="300"/>
  <w15:docId w15:val="{1B4BAA2E-2CB9-4846-B5C9-816B4C326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846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Tod Nestor</cp:lastModifiedBy>
  <cp:revision>2</cp:revision>
  <dcterms:created xsi:type="dcterms:W3CDTF">2013-12-23T23:15:00Z</dcterms:created>
  <dcterms:modified xsi:type="dcterms:W3CDTF">2026-05-05T22:41:00Z</dcterms:modified>
  <cp:category/>
</cp:coreProperties>
</file>