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f4b0d794db5b4a75e0fbb03452422a12c7233ca"/>
    <w:p>
      <w:pPr>
        <w:pStyle w:val="Heading1"/>
      </w:pPr>
      <w:r>
        <w:t xml:space="preserve">Appendix C: Cohen’s d Effect Size Methodology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Cohen’s d is a standardized measure of effect size that quantifies the magnitude of difference between two groups in terms of standard deviation units. While p-values indicate whether a difference is statistically significant (unlikely due to chance), Cohen’s d indicates whether the difference is practically meaningful.</w:t>
      </w:r>
    </w:p>
    <w:bookmarkEnd w:id="9"/>
    <w:bookmarkStart w:id="10" w:name="formula-paired-samples"/>
    <w:p>
      <w:pPr>
        <w:pStyle w:val="Heading2"/>
      </w:pPr>
      <w:r>
        <w:t xml:space="preserve">Formula: Paired Samples</w:t>
      </w:r>
    </w:p>
    <w:p>
      <w:pPr>
        <w:pStyle w:val="FirstParagraph"/>
      </w:pPr>
      <w:r>
        <w:t xml:space="preserve">For comparing models across the same schema fields, we use the</w:t>
      </w:r>
      <w:r>
        <w:t xml:space="preserve"> </w:t>
      </w:r>
      <w:r>
        <w:rPr>
          <w:b/>
          <w:bCs/>
        </w:rPr>
        <w:t xml:space="preserve">paired samples</w:t>
      </w:r>
      <w:r>
        <w:t xml:space="preserve"> </w:t>
      </w: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d = mean(differences) / std(differences)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differences</w:t>
      </w:r>
      <w:r>
        <w:t xml:space="preserve"> </w:t>
      </w:r>
      <w:r>
        <w:t xml:space="preserve">= Model A F1 score minus Model B F1 score, computed for each field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mean(differences)</w:t>
      </w:r>
      <w:r>
        <w:t xml:space="preserve"> </w:t>
      </w:r>
      <w:r>
        <w:t xml:space="preserve">= Average of these difference scores across all fields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std(differences)</w:t>
      </w:r>
      <w:r>
        <w:t xml:space="preserve"> </w:t>
      </w:r>
      <w:r>
        <w:t xml:space="preserve">= Standard deviation of the difference scores</w:t>
      </w:r>
    </w:p>
    <w:p>
      <w:pPr>
        <w:pStyle w:val="BodyText"/>
      </w:pPr>
      <w:r>
        <w:t xml:space="preserve">This paired approach is appropriate because each schema field serves as its own control, and the same 17 fields are evaluated across all models.</w:t>
      </w:r>
    </w:p>
    <w:bookmarkEnd w:id="10"/>
    <w:bookmarkStart w:id="11" w:name="interpretation-thresholds"/>
    <w:p>
      <w:pPr>
        <w:pStyle w:val="Heading2"/>
      </w:pPr>
      <w:r>
        <w:t xml:space="preserve">Interpretation Thresholds</w:t>
      </w:r>
    </w:p>
    <w:p>
      <w:pPr>
        <w:pStyle w:val="FirstParagraph"/>
      </w:pPr>
      <w:r>
        <w:t xml:space="preserve">Cohen (1988) proposed conventional thresholds for interpreting effect sizes: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Absolute Value of 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Meaning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&lt; 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Negligible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 too small to be meaningful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0.2 – 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but subtle difference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0.5 – 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 visible in practice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&gt; 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Substantial, obvious difference</w:t>
            </w:r>
          </w:p>
        </w:tc>
      </w:tr>
    </w:tbl>
    <w:bookmarkEnd w:id="11"/>
    <w:bookmarkStart w:id="12" w:name="application-in-this-study"/>
    <w:p>
      <w:pPr>
        <w:pStyle w:val="Heading2"/>
      </w:pPr>
      <w:r>
        <w:t xml:space="preserve">Application in This Study</w:t>
      </w:r>
    </w:p>
    <w:p>
      <w:pPr>
        <w:pStyle w:val="FirstParagraph"/>
      </w:pPr>
      <w:r>
        <w:t xml:space="preserve">Effect sizes were computed for all pairwise model comparisons: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Cohen’s 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Llama-11B vs IVL3.5-8B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Llama-11B vs IVL3-2B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IVL3.5-8B vs IVL3-2B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</w:tr>
    </w:tbl>
    <w:p>
      <w:pPr>
        <w:pStyle w:val="BodyText"/>
      </w:pPr>
      <w:r>
        <w:t xml:space="preserve">All comparisons show</w:t>
      </w:r>
      <w:r>
        <w:t xml:space="preserve"> </w:t>
      </w:r>
      <w:r>
        <w:rPr>
          <w:b/>
          <w:bCs/>
        </w:rPr>
        <w:t xml:space="preserve">medium effect sizes</w:t>
      </w:r>
      <w:r>
        <w:t xml:space="preserve">, indicating that the performance differences between models are not only statistically significant but also practically meaningful for field-level extraction tasks.</w:t>
      </w:r>
    </w:p>
    <w:bookmarkEnd w:id="12"/>
    <w:bookmarkStart w:id="13" w:name="why-effect-size-matters"/>
    <w:p>
      <w:pPr>
        <w:pStyle w:val="Heading2"/>
      </w:pPr>
      <w:r>
        <w:t xml:space="preserve">Why Effect Size Matters</w:t>
      </w:r>
    </w:p>
    <w:p>
      <w:pPr>
        <w:pStyle w:val="FirstParagraph"/>
      </w:pPr>
      <w:r>
        <w:t xml:space="preserve">Statistical significance (p-value) and practical significance (effect size) address different questions: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p-value</w:t>
      </w:r>
      <w:r>
        <w:t xml:space="preserve">:</w:t>
      </w:r>
      <w:r>
        <w:t xml:space="preserve"> </w:t>
      </w:r>
      <w:r>
        <w:t xml:space="preserve">“Is this difference real or due to chance?”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Cohen’s d</w:t>
      </w:r>
      <w:r>
        <w:t xml:space="preserve">:</w:t>
      </w:r>
      <w:r>
        <w:t xml:space="preserve"> </w:t>
      </w:r>
      <w:r>
        <w:t xml:space="preserve">“Is this difference large enough to matter?”</w:t>
      </w:r>
    </w:p>
    <w:p>
      <w:pPr>
        <w:pStyle w:val="FirstParagraph"/>
      </w:pPr>
      <w:r>
        <w:t xml:space="preserve">With small sample sizes (n=17 schema fields), relying solely on p-values can be misleading. A study might show:</w:t>
      </w:r>
      <w:r>
        <w:t xml:space="preserve"> </w:t>
      </w:r>
      <w:r>
        <w:t xml:space="preserve">- Significant p-value with negligible effect size: statistically real but trivial</w:t>
      </w:r>
      <w:r>
        <w:t xml:space="preserve"> </w:t>
      </w:r>
      <w:r>
        <w:t xml:space="preserve">- Non-significant p-value with large effect size: meaningful difference but underpowered</w:t>
      </w:r>
    </w:p>
    <w:p>
      <w:pPr>
        <w:pStyle w:val="BodyText"/>
      </w:pPr>
      <w:r>
        <w:t xml:space="preserve">Reporting both metrics provides a complete picture of model performance differences.</w:t>
      </w:r>
    </w:p>
    <w:bookmarkEnd w:id="13"/>
    <w:bookmarkStart w:id="14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Cohen, J. (1988).</w:t>
      </w:r>
      <w:r>
        <w:t xml:space="preserve"> </w:t>
      </w:r>
      <w:r>
        <w:rPr>
          <w:i/>
          <w:iCs/>
        </w:rPr>
        <w:t xml:space="preserve">Statistical Power Analysis for the Behavioral Sciences</w:t>
      </w:r>
      <w:r>
        <w:t xml:space="preserve"> </w:t>
      </w:r>
      <w:r>
        <w:t xml:space="preserve">(2nd ed.). Lawrence Erlbaum Associates.</w:t>
      </w:r>
    </w:p>
    <w:p>
      <w:pPr>
        <w:pStyle w:val="BodyText"/>
      </w:pPr>
      <w:r>
        <w:t xml:space="preserve">Lakens, D. (2013). Calculating and reporting effect sizes to facilitate cumulative science: A practical primer for t-tests and ANOVAs.</w:t>
      </w:r>
      <w:r>
        <w:t xml:space="preserve"> </w:t>
      </w:r>
      <w:r>
        <w:rPr>
          <w:i/>
          <w:iCs/>
        </w:rPr>
        <w:t xml:space="preserve">Frontiers in Psychology</w:t>
      </w:r>
      <w:r>
        <w:t xml:space="preserve">, 4, 863. https://doi.org/10.3389/fpsyg.2013.00863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2025-12-21T21:11:52Z</dcterms:created>
  <dcterms:modified xsi:type="dcterms:W3CDTF">2025-12-21T21:11:52Z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