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2c2b0cb72178c1dc8091166f20ab3d807c4858"/>
    <w:p>
      <w:pPr>
        <w:pStyle w:val="Heading1"/>
      </w:pPr>
      <w:r>
        <w:t xml:space="preserve">LMM_POC Project: Evidence Against Selection Criteria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Vision-Language Model Pipeline for Automated Document Extraction</w:t>
      </w:r>
      <w:r>
        <w:t xml:space="preserve"> </w:t>
      </w:r>
      <w:r>
        <w:rPr>
          <w:b/>
          <w:bCs/>
        </w:rPr>
        <w:t xml:space="preserve">Period</w:t>
      </w:r>
      <w:r>
        <w:t xml:space="preserve">: October 2025 – March 2026 (5 months)</w:t>
      </w:r>
      <w:r>
        <w:t xml:space="preserve"> </w:t>
      </w:r>
      <w:r>
        <w:rPr>
          <w:b/>
          <w:bCs/>
        </w:rPr>
        <w:t xml:space="preserve">Scale</w:t>
      </w:r>
      <w:r>
        <w:t xml:space="preserve">: ~1,058 commits across 12 feature branches, 5 models integrated, 5 document types, deployed on multi-GPU production infrastructure</w:t>
      </w:r>
    </w:p>
    <w:p>
      <w:r>
        <w:pict>
          <v:rect style="width:0;height:1.5pt" o:hralign="center" o:hrstd="t" o:hr="t"/>
        </w:pict>
      </w:r>
    </w:p>
    <w:bookmarkStart w:id="13" w:name="X0b4106f5780b27abdfeae23ea93fda0f8c4f609"/>
    <w:p>
      <w:pPr>
        <w:pStyle w:val="Heading2"/>
      </w:pPr>
      <w:r>
        <w:t xml:space="preserve">Criterion 1: Technical Proficiency in AI, Machine Learning, Data Visualisation, and Statistical Modelling</w:t>
      </w:r>
    </w:p>
    <w:bookmarkStart w:id="9" w:name="Xc53a6024452a1748492afeac53231200a3d6332"/>
    <w:p>
      <w:pPr>
        <w:pStyle w:val="Heading3"/>
      </w:pPr>
      <w:r>
        <w:t xml:space="preserve">Artificial Intelligence – Vision-Language Models</w:t>
      </w:r>
    </w:p>
    <w:p>
      <w:pPr>
        <w:pStyle w:val="FirstParagraph"/>
      </w:pPr>
      <w:r>
        <w:t xml:space="preserve">Designed and built an end-to-end AI pipeline that uses vision-language models (VLMs) to automatically extract structured data from document images. The system takes raw images of receipts, invoices, and bank statements and returns machine-readable field values – replacing manual data 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Oct 2025</w:t>
      </w:r>
      <w:r>
        <w:t xml:space="preserve">: Built initial single-model extraction pipeline with InternVL3.5-8B, including document type classification and field extraction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Oct–Dec 2025</w:t>
      </w:r>
      <w:r>
        <w:t xml:space="preserve">: Developed multi-turn bank statement extraction – a 4-turn conversational protocol (header detection, date format classification, table extraction, schema mapping) with dynamic column detection and mathematical balance correction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 2026</w:t>
      </w:r>
      <w:r>
        <w:t xml:space="preserve">: Integrated 5 pre-trained VLMs into a unified pipeline via a model-agnostic registry pattern: InternVL3.5-8B, InternVL3.5-20B-A4B (Mixture of Experts), Llama-3.2-11B-Vision, Qwen3-VL-8B, and GLM-OCR-0.9B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 2026</w:t>
      </w:r>
      <w:r>
        <w:t xml:space="preserve">: Solved a critical GPU memory failure by replacing the O(N^2) eager attention mechanism with a custom O(N) Scaled Dot-Product Attention (SDPA) implementation, requiring deep understanding of transformer attention internals, grouped-query attention head expansion, and PyTorch CUDA backends</w:t>
      </w:r>
    </w:p>
    <w:bookmarkEnd w:id="9"/>
    <w:bookmarkStart w:id="10" w:name="X206460aeae3c09f9e08accb8a94db2d02b62fee"/>
    <w:p>
      <w:pPr>
        <w:pStyle w:val="Heading3"/>
      </w:pPr>
      <w:r>
        <w:t xml:space="preserve">Machine Learning – Document Classification and Extraction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Oct 2025</w:t>
      </w:r>
      <w:r>
        <w:t xml:space="preserve">: Built two-phase ML pipeline: Phase 1 (VLM-based document type classification), Phase 2 (type-specific extraction with specialised prompts)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 2026</w:t>
      </w:r>
      <w:r>
        <w:t xml:space="preserve">: Implemented batched GPU inference with automatic OOM fallback (halving batch size recursively), achieving 60% throughput improvement over sequential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Feb–Mar 2026</w:t>
      </w:r>
      <w:r>
        <w:t xml:space="preserve">: Designed multi-GPU data parallelism using ThreadPoolExecutor, exploiting PyTorch’s GIL release during CUDA kernel execution for true parallel inference without serialisation overhead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 2026</w:t>
      </w:r>
      <w:r>
        <w:t xml:space="preserve">: Built adaptive per-image tile selection based on image quality assessment, balancing extraction accuracy against GPU memory constraints</w:t>
      </w:r>
    </w:p>
    <w:bookmarkEnd w:id="10"/>
    <w:bookmarkStart w:id="11" w:name="data-visualisation"/>
    <w:p>
      <w:pPr>
        <w:pStyle w:val="Heading3"/>
      </w:pPr>
      <w:r>
        <w:t xml:space="preserve">Data Visualisation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 2025</w:t>
      </w:r>
      <w:r>
        <w:t xml:space="preserve">: Built model comparison dashboards with field-level accuracy heatmaps, radar charts, and executive summary visualisations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 2025</w:t>
      </w:r>
      <w:r>
        <w:t xml:space="preserve">: Created confusion matrix analysis for document type classification across 3 model variants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 2026</w:t>
      </w:r>
      <w:r>
        <w:t xml:space="preserve">: Generated SVG evaluation visualisations for transaction linking accuracy, including lollipop charts for per-field F1 score differences</w:t>
      </w:r>
    </w:p>
    <w:bookmarkEnd w:id="11"/>
    <w:bookmarkStart w:id="12" w:name="statistical-modelling"/>
    <w:p>
      <w:pPr>
        <w:pStyle w:val="Heading3"/>
      </w:pPr>
      <w:r>
        <w:t xml:space="preserve">Statistical Modelling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 2025</w:t>
      </w:r>
      <w:r>
        <w:t xml:space="preserve">: Implemented per-field F1, precision, and recall metrics with semantic normalisation for dates and monetary amounts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 2025</w:t>
      </w:r>
      <w:r>
        <w:t xml:space="preserve">: Applied Cohen’s d effect size to quantify statistical significance of accuracy differences between model variants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 2026</w:t>
      </w:r>
      <w:r>
        <w:t xml:space="preserve">: Designed ground truth override experiments to isolate the causal impact of document misclassification on extraction accuracy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3cb14eacfdb98c465b7e06e3edfb587081b13d1"/>
    <w:p>
      <w:pPr>
        <w:pStyle w:val="Heading2"/>
      </w:pPr>
      <w:r>
        <w:t xml:space="preserve">Criterion 2: Hands-on Python Data Science Ecosystems, Cloud-Based Pipelines, and Pre-Trained Models</w:t>
      </w:r>
    </w:p>
    <w:bookmarkStart w:id="14" w:name="python-ecosystem"/>
    <w:p>
      <w:pPr>
        <w:pStyle w:val="Heading3"/>
      </w:pPr>
      <w:r>
        <w:t xml:space="preserve">Python Ecosystem</w:t>
      </w:r>
    </w:p>
    <w:p>
      <w:pPr>
        <w:pStyle w:val="FirstParagraph"/>
      </w:pPr>
      <w:r>
        <w:t xml:space="preserve">The entire system is built in Python 3.12, leveraging the modern data science and ML stack: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PyTorch</w:t>
      </w:r>
      <w:r>
        <w:t xml:space="preserve">: GPU inference, CUDA memory management, mixed-precision (float16/bfloat16),</w:t>
      </w:r>
      <w:r>
        <w:t xml:space="preserve"> </w:t>
      </w:r>
      <w:r>
        <w:rPr>
          <w:rStyle w:val="VerbatimChar"/>
        </w:rPr>
        <w:t xml:space="preserve">torch.nn.functional.scaled_dot_product_attention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Transformers (HuggingFace)</w:t>
      </w:r>
      <w:r>
        <w:t xml:space="preserve">: Model loading, tokenisation,</w:t>
      </w:r>
      <w:r>
        <w:t xml:space="preserve"> </w:t>
      </w:r>
      <w:r>
        <w:rPr>
          <w:rStyle w:val="VerbatimChar"/>
        </w:rPr>
        <w:t xml:space="preserve">AutoModel</w:t>
      </w:r>
      <w:r>
        <w:t xml:space="preserve">/</w:t>
      </w:r>
      <w:r>
        <w:rPr>
          <w:rStyle w:val="VerbatimChar"/>
        </w:rPr>
        <w:t xml:space="preserve">AutoTokenizer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AutoProcessor</w:t>
      </w:r>
      <w:r>
        <w:t xml:space="preserve">, generation configuration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Pandas</w:t>
      </w:r>
      <w:r>
        <w:t xml:space="preserve">: Ground truth CSV management, field-level metric aggregation, result comparison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Rich</w:t>
      </w:r>
      <w:r>
        <w:t xml:space="preserve">: Console output, progress bars, GPU status tables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Pillow (PIL)</w:t>
      </w:r>
      <w:r>
        <w:t xml:space="preserve">: Image preprocessing, adaptive tile selection based on image quality assessment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Conda</w:t>
      </w:r>
      <w:r>
        <w:t xml:space="preserve">: YAML-driven environment management with Flash Attention 2 source builds</w:t>
      </w:r>
    </w:p>
    <w:bookmarkEnd w:id="14"/>
    <w:bookmarkStart w:id="15" w:name="cloud-based-data-science-pipelines"/>
    <w:p>
      <w:pPr>
        <w:pStyle w:val="Heading3"/>
      </w:pPr>
      <w:r>
        <w:t xml:space="preserve">Cloud-Based Data Science Pipelines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2026</w:t>
      </w:r>
      <w:r>
        <w:t xml:space="preserve">: Decomposed the monolithic pipeline into three independently deployable stages for</w:t>
      </w:r>
      <w:r>
        <w:t xml:space="preserve"> </w:t>
      </w:r>
      <w:r>
        <w:rPr>
          <w:b/>
          <w:bCs/>
        </w:rPr>
        <w:t xml:space="preserve">Kubeflow Pipelines (KFP)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– each callable as a standalone CLI subcommand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2026</w:t>
      </w:r>
      <w:r>
        <w:t xml:space="preserve">: Built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KFP_TASK</w:t>
      </w:r>
      <w:r>
        <w:t xml:space="preserve"> </w:t>
      </w:r>
      <w:r>
        <w:t xml:space="preserve">dispatch routing, CUDA environment diagnostics, and multi-GPU auto-detection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2026</w:t>
      </w:r>
      <w:r>
        <w:t xml:space="preserve">: Configured</w:t>
      </w:r>
      <w:r>
        <w:t xml:space="preserve"> </w:t>
      </w:r>
      <w:r>
        <w:rPr>
          <w:b/>
          <w:bCs/>
        </w:rPr>
        <w:t xml:space="preserve">AWS EFS</w:t>
      </w:r>
      <w:r>
        <w:t xml:space="preserve"> </w:t>
      </w:r>
      <w:r>
        <w:t xml:space="preserve">integration for shared model weights and evaluation data across pipeline stages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2026</w:t>
      </w:r>
      <w:r>
        <w:t xml:space="preserve">: Implemented</w:t>
      </w:r>
      <w:r>
        <w:t xml:space="preserve"> </w:t>
      </w:r>
      <w:r>
        <w:rPr>
          <w:rStyle w:val="VerbatimChar"/>
        </w:rPr>
        <w:t xml:space="preserve">--run-id</w:t>
      </w:r>
      <w:r>
        <w:t xml:space="preserve"> </w:t>
      </w:r>
      <w:r>
        <w:t xml:space="preserve">flag for deterministic inter-stage file paths, enabling reliable pipeline orchestration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2026</w:t>
      </w:r>
      <w:r>
        <w:t xml:space="preserve">: Designed fail-fast validation that checks required environment variables and paths before launching GPU-intensive work</w:t>
      </w:r>
    </w:p>
    <w:bookmarkEnd w:id="15"/>
    <w:bookmarkStart w:id="16" w:name="X4164d51668a7495c0e0f50a48f36397ce1f32b7"/>
    <w:p>
      <w:pPr>
        <w:pStyle w:val="Heading3"/>
      </w:pPr>
      <w:r>
        <w:t xml:space="preserve">Applying Pre-Trained Models to Real-World Problems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Oct 2025 – Mar 2026</w:t>
      </w:r>
      <w:r>
        <w:t xml:space="preserve">: Applied 5 different pre-trained vision-language models to the real-world problem of automated document data extraction for financial reconciliation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 2026</w:t>
      </w:r>
      <w:r>
        <w:t xml:space="preserve">: Extended extraction into transaction linking: a 3-stage pipeline that matches receipts to bank statement debits using chain-of-thought reasoning with amount gating (2% tolerance) and confidence scoring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 2026</w:t>
      </w:r>
      <w:r>
        <w:t xml:space="preserve">: Built synthetic data generators for receipts and bank statements to enable controlled testing without exposing production financial documents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 2025 – Feb 2026</w:t>
      </w:r>
      <w:r>
        <w:t xml:space="preserve">: Planned and executed GPU platform migration from V100 (16 GiB, 8-bit quantization required) to A10G (24 GiB, full-precision with Flash Attention 2), resolving 15+ Flash Attention 2 compatibility issues including pre-built wheel failures, CXX11 ABI mismatches, and NFS cross-device link workarounds</w:t>
      </w:r>
    </w:p>
    <w:p>
      <w:pPr>
        <w:pStyle w:val="Compact"/>
        <w:numPr>
          <w:ilvl w:val="0"/>
          <w:numId w:val="1007"/>
        </w:numPr>
      </w:pPr>
      <w:r>
        <w:t xml:space="preserve">Managed a 3-machine development workflow: local macOS (linting), sandbox GPU (L40, experimentation), production GPU cluster (4x A10G, 24 GiB each)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461fd17280f102fe7f2846152806f5c80810a65"/>
    <w:p>
      <w:pPr>
        <w:pStyle w:val="Heading2"/>
      </w:pPr>
      <w:r>
        <w:t xml:space="preserve">Criterion 3: Clearly Communicates Complex Technical Information to Diverse Audiences</w:t>
      </w:r>
    </w:p>
    <w:bookmarkStart w:id="18" w:name="technical-audiences"/>
    <w:p>
      <w:pPr>
        <w:pStyle w:val="Heading3"/>
      </w:pPr>
      <w:r>
        <w:t xml:space="preserve">Technical Audiences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Feb 2026</w:t>
      </w:r>
      <w:r>
        <w:t xml:space="preserve">: Authored detailed design decision documents explaining architectural choices: multi-GPU orchestrator rationale, pipeline vs data parallelism comparison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 2026</w:t>
      </w:r>
      <w:r>
        <w:t xml:space="preserve">: Wrote a comprehensive multi-GPU high-tile OOM diagnosis writeup tracing the problem from GPU memory budgets through attention matrix materialisation to the SDPA solution – with Mermaid diagrams showing standard vs FlashAttention2 memory profiles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Feb 2026</w:t>
      </w:r>
      <w:r>
        <w:t xml:space="preserve">: Documented the composable pipeline architecture with stage interfaces, entrypoint usage, and rollback guide for operations teams</w:t>
      </w:r>
    </w:p>
    <w:p>
      <w:pPr>
        <w:pStyle w:val="Compact"/>
        <w:numPr>
          <w:ilvl w:val="0"/>
          <w:numId w:val="1008"/>
        </w:numPr>
      </w:pPr>
      <w:r>
        <w:t xml:space="preserve">Produced architecture diagrams using Mermaid for pipeline flow, model dispatch, and GPU memory layout</w:t>
      </w:r>
    </w:p>
    <w:bookmarkEnd w:id="18"/>
    <w:bookmarkStart w:id="19" w:name="non-technical-audiences"/>
    <w:p>
      <w:pPr>
        <w:pStyle w:val="Heading3"/>
      </w:pPr>
      <w:r>
        <w:t xml:space="preserve">Non-Technical Audiences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Feb–Mar 2026</w:t>
      </w:r>
      <w:r>
        <w:t xml:space="preserve">: Delivered Community of Practice (CoP) presentations on VLM architecture and project findings, translating GPU computing concepts into accessible explanations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 2025</w:t>
      </w:r>
      <w:r>
        <w:t xml:space="preserve">: Created executive model comparison dashboards distilling complex F1/precision/recall metrics into actionable recommendations (which model to deploy, for which document types)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Feb 2026</w:t>
      </w:r>
      <w:r>
        <w:t xml:space="preserve">: Wrote evaluation methodology defence documents justifying the choice of metrics and ground truth management approach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Feb 2026</w:t>
      </w:r>
      <w:r>
        <w:t xml:space="preserve">: Produced presentation materials on threading vs multiprocessing, pipeline vs data parallelism – with visual diagrams designed for audiences without GPU computing background</w:t>
      </w:r>
    </w:p>
    <w:bookmarkEnd w:id="19"/>
    <w:bookmarkStart w:id="20" w:name="knowledge-artefacts"/>
    <w:p>
      <w:pPr>
        <w:pStyle w:val="Heading3"/>
      </w:pPr>
      <w:r>
        <w:t xml:space="preserve">Knowledge Artefacts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Jan–Feb 2026</w:t>
      </w:r>
      <w:r>
        <w:t xml:space="preserve">: Technical documentation for Flash Attention 2 troubleshooting (wheel compatibility, ABI issues, source builds) – enabling other team members to set up GPU environments independently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Oct 2025</w:t>
      </w:r>
      <w:r>
        <w:t xml:space="preserve">: Setup automation script (</w:t>
      </w:r>
      <w:r>
        <w:rPr>
          <w:rStyle w:val="VerbatimChar"/>
        </w:rPr>
        <w:t xml:space="preserve">LMM_POC_setup.sh</w:t>
      </w:r>
      <w:r>
        <w:t xml:space="preserve">) with usage instructions, SSH key configuration, and Jupyter kernel registration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Jan 2026</w:t>
      </w:r>
      <w:r>
        <w:t xml:space="preserve">: Amazon Bedrock migration guide assessing cloud deployment options with Australian data residency requirements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cf54cc166a51973b29b2eb3e33aaaf3937be11b"/>
    <w:p>
      <w:pPr>
        <w:pStyle w:val="Heading2"/>
      </w:pPr>
      <w:r>
        <w:t xml:space="preserve">Criterion 4: Effective and Ethical Solutions Supporting Responsible Governance and Appropriate Use of Enterprise Data</w:t>
      </w:r>
    </w:p>
    <w:bookmarkStart w:id="22" w:name="data-privacy-and-sovereignty"/>
    <w:p>
      <w:pPr>
        <w:pStyle w:val="Heading3"/>
      </w:pPr>
      <w:r>
        <w:t xml:space="preserve">Data Privacy and Sovereignty</w:t>
      </w:r>
    </w:p>
    <w:p>
      <w:pPr>
        <w:pStyle w:val="Compact"/>
        <w:numPr>
          <w:ilvl w:val="0"/>
          <w:numId w:val="1011"/>
        </w:numPr>
      </w:pPr>
      <w:r>
        <w:t xml:space="preserve">Designed the pipeline for</w:t>
      </w:r>
      <w:r>
        <w:t xml:space="preserve"> </w:t>
      </w:r>
      <w:r>
        <w:rPr>
          <w:b/>
          <w:bCs/>
        </w:rPr>
        <w:t xml:space="preserve">on-premise/private cloud deployment</w:t>
      </w:r>
      <w:r>
        <w:t xml:space="preserve">, ensuring sensitive financial documents (bank statements, invoices, receipts) are never transmitted to external API services</w:t>
      </w:r>
    </w:p>
    <w:p>
      <w:pPr>
        <w:pStyle w:val="Compact"/>
        <w:numPr>
          <w:ilvl w:val="0"/>
          <w:numId w:val="1011"/>
        </w:numPr>
      </w:pPr>
      <w:r>
        <w:t xml:space="preserve">All VLMs run locally on organisation-controlled GPU infrastructure, maintaining full data custody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Jan 2026</w:t>
      </w:r>
      <w:r>
        <w:t xml:space="preserve">: Assessed Amazon Bedrock migration with explicit attention to</w:t>
      </w:r>
      <w:r>
        <w:t xml:space="preserve"> </w:t>
      </w:r>
      <w:r>
        <w:rPr>
          <w:b/>
          <w:bCs/>
        </w:rPr>
        <w:t xml:space="preserve">Australian data residency requirements</w:t>
      </w:r>
      <w:r>
        <w:t xml:space="preserve">, documenting which models are available in the Sydney region</w:t>
      </w:r>
    </w:p>
    <w:p>
      <w:pPr>
        <w:pStyle w:val="Compact"/>
        <w:numPr>
          <w:ilvl w:val="0"/>
          <w:numId w:val="1011"/>
        </w:numPr>
      </w:pPr>
      <w:r>
        <w:t xml:space="preserve">Evaluated AWS SageMaker as an alternative deployment path that maintains data within the organisation’s VPC</w:t>
      </w:r>
    </w:p>
    <w:bookmarkEnd w:id="22"/>
    <w:bookmarkStart w:id="23" w:name="responsible-ai-practices"/>
    <w:p>
      <w:pPr>
        <w:pStyle w:val="Heading3"/>
      </w:pPr>
      <w:r>
        <w:t xml:space="preserve">Responsible AI Practices</w:t>
      </w:r>
    </w:p>
    <w:p>
      <w:pPr>
        <w:pStyle w:val="Compact"/>
        <w:numPr>
          <w:ilvl w:val="0"/>
          <w:numId w:val="1012"/>
        </w:numPr>
      </w:pPr>
      <w:r>
        <w:t xml:space="preserve">Established</w:t>
      </w:r>
      <w:r>
        <w:t xml:space="preserve"> </w:t>
      </w:r>
      <w:r>
        <w:rPr>
          <w:b/>
          <w:bCs/>
        </w:rPr>
        <w:t xml:space="preserve">prompt authoring rules</w:t>
      </w:r>
      <w:r>
        <w:t xml:space="preserve"> </w:t>
      </w:r>
      <w:r>
        <w:t xml:space="preserve">prohibiting the use of real document data in prompts – all examples use fictitious merchant names and amounts to prevent data leakage into model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 2026</w:t>
      </w:r>
      <w:r>
        <w:t xml:space="preserve">: Built synthetic data generators for testing, eliminating the need to use production financial documents during development and experimentation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Nov 2025</w:t>
      </w:r>
      <w:r>
        <w:t xml:space="preserve">: Implemented ground truth validation workflows with manual review and correction steps, ensuring evaluation integrity</w:t>
      </w:r>
    </w:p>
    <w:p>
      <w:pPr>
        <w:pStyle w:val="Compact"/>
        <w:numPr>
          <w:ilvl w:val="0"/>
          <w:numId w:val="1012"/>
        </w:numPr>
      </w:pPr>
      <w:r>
        <w:t xml:space="preserve">Designed the evaluation framework to surface model failures transparently – per-field accuracy breakdown, misclassification impact analysis, and worst-performing image identification</w:t>
      </w:r>
    </w:p>
    <w:bookmarkEnd w:id="23"/>
    <w:bookmarkStart w:id="24" w:name="production-robustness"/>
    <w:p>
      <w:pPr>
        <w:pStyle w:val="Heading3"/>
      </w:pPr>
      <w:r>
        <w:t xml:space="preserve">Production Robustness</w:t>
      </w:r>
    </w:p>
    <w:p>
      <w:pPr>
        <w:pStyle w:val="Compact"/>
        <w:numPr>
          <w:ilvl w:val="0"/>
          <w:numId w:val="1013"/>
        </w:numPr>
      </w:pPr>
      <w:r>
        <w:t xml:space="preserve">Implemented fail-fast validation patterns throughout: configuration errors surface immediately with actionable diagnostics rather than failing silently deep in the pipeline</w:t>
      </w:r>
    </w:p>
    <w:p>
      <w:pPr>
        <w:pStyle w:val="Compact"/>
        <w:numPr>
          <w:ilvl w:val="0"/>
          <w:numId w:val="1013"/>
        </w:numPr>
      </w:pPr>
      <w:r>
        <w:t xml:space="preserve">OOM fallback mechanisms ensure graceful degradation under memory pressure rather than data loss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Feb 2026</w:t>
      </w:r>
      <w:r>
        <w:t xml:space="preserve">: Granular exit codes distinguish model loading failures from partial processing success, supporting operational monitoring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6c2f19ee49d71699cc3cdb925bbfb4c7edb35d"/>
    <w:p>
      <w:pPr>
        <w:pStyle w:val="Heading2"/>
      </w:pPr>
      <w:r>
        <w:t xml:space="preserve">Criterion 5: Delivery Focused, Working Collaboratively Within Multi-Disciplinary Teams</w:t>
      </w:r>
    </w:p>
    <w:bookmarkStart w:id="26" w:name="delivery-record"/>
    <w:p>
      <w:pPr>
        <w:pStyle w:val="Heading3"/>
      </w:pPr>
      <w:r>
        <w:t xml:space="preserve">Delivery Record</w:t>
      </w:r>
    </w:p>
    <w:p>
      <w:pPr>
        <w:pStyle w:val="Compact"/>
        <w:numPr>
          <w:ilvl w:val="0"/>
          <w:numId w:val="1014"/>
        </w:numPr>
      </w:pPr>
      <w:r>
        <w:t xml:space="preserve">Delivered ~1,058 commits across 12 feature branches over 5 months, progressing from initial prototype to production-grade multi-GPU pipeline</w:t>
      </w:r>
    </w:p>
    <w:p>
      <w:pPr>
        <w:pStyle w:val="Compact"/>
        <w:numPr>
          <w:ilvl w:val="0"/>
          <w:numId w:val="1014"/>
        </w:numPr>
      </w:pPr>
      <w:r>
        <w:t xml:space="preserve">Maintained a structured branching strategy: each major capability developed on a dedicated feature branch (</w:t>
      </w:r>
      <w:r>
        <w:rPr>
          <w:rStyle w:val="VerbatimChar"/>
        </w:rPr>
        <w:t xml:space="preserve">batch-inference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model-extensibility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feature/multi-gpu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feature/composable-pipeline</w:t>
      </w:r>
      <w:r>
        <w:t xml:space="preserve">, etc.)</w:t>
      </w:r>
    </w:p>
    <w:p>
      <w:pPr>
        <w:pStyle w:val="Compact"/>
        <w:numPr>
          <w:ilvl w:val="0"/>
          <w:numId w:val="1014"/>
        </w:numPr>
      </w:pPr>
      <w:r>
        <w:t xml:space="preserve">Achieved measurable production metrics: 95.0% F1 extraction accuracy, 4.25 images/min throughput on 4x A10G, 5 document types supported</w:t>
      </w:r>
    </w:p>
    <w:bookmarkEnd w:id="26"/>
    <w:bookmarkStart w:id="27" w:name="cross-functional-collaboration"/>
    <w:p>
      <w:pPr>
        <w:pStyle w:val="Heading3"/>
      </w:pPr>
      <w:r>
        <w:t xml:space="preserve">Cross-Functional Collaboration</w:t>
      </w:r>
    </w:p>
    <w:p>
      <w:pPr>
        <w:pStyle w:val="Compact"/>
        <w:numPr>
          <w:ilvl w:val="0"/>
          <w:numId w:val="1015"/>
        </w:numPr>
      </w:pPr>
      <w:r>
        <w:t xml:space="preserve">Collaborated with</w:t>
      </w:r>
      <w:r>
        <w:t xml:space="preserve"> </w:t>
      </w:r>
      <w:r>
        <w:rPr>
          <w:b/>
          <w:bCs/>
        </w:rPr>
        <w:t xml:space="preserve">Data Engineering</w:t>
      </w:r>
      <w:r>
        <w:t xml:space="preserve"> </w:t>
      </w:r>
      <w:r>
        <w:t xml:space="preserve">on KFP pipeline integration: entrypoint scripting, EFS path configuration, environment variable contracts, and inter-stage file formats</w:t>
      </w:r>
    </w:p>
    <w:p>
      <w:pPr>
        <w:pStyle w:val="Compact"/>
        <w:numPr>
          <w:ilvl w:val="0"/>
          <w:numId w:val="1015"/>
        </w:numPr>
      </w:pPr>
      <w:r>
        <w:t xml:space="preserve">Worked with</w:t>
      </w:r>
      <w:r>
        <w:t xml:space="preserve"> </w:t>
      </w:r>
      <w:r>
        <w:rPr>
          <w:b/>
          <w:bCs/>
        </w:rPr>
        <w:t xml:space="preserve">Infrastructure/Platform</w:t>
      </w:r>
      <w:r>
        <w:t xml:space="preserve"> </w:t>
      </w:r>
      <w:r>
        <w:t xml:space="preserve">teams on GPU provisioning across V100, A10G, L4, and L40S architectures, including Flash Attention 2 compatibility testing and Conda environment management on shared NFS storage</w:t>
      </w:r>
    </w:p>
    <w:p>
      <w:pPr>
        <w:pStyle w:val="Compact"/>
        <w:numPr>
          <w:ilvl w:val="0"/>
          <w:numId w:val="1015"/>
        </w:numPr>
      </w:pPr>
      <w:r>
        <w:t xml:space="preserve">Produced operational documentation (rollback guides, setup scripts, troubleshooting guides) to enable handover to support teams</w:t>
      </w:r>
    </w:p>
    <w:p>
      <w:pPr>
        <w:pStyle w:val="Compact"/>
        <w:numPr>
          <w:ilvl w:val="0"/>
          <w:numId w:val="1015"/>
        </w:numPr>
      </w:pPr>
      <w:r>
        <w:t xml:space="preserve">Adapted pipeline configuration (YAML-driven, CLI flags) to accommodate different deployment environments without code changes</w:t>
      </w:r>
    </w:p>
    <w:bookmarkEnd w:id="27"/>
    <w:bookmarkStart w:id="28" w:name="iterative-delivery-milestones"/>
    <w:p>
      <w:pPr>
        <w:pStyle w:val="Heading3"/>
      </w:pPr>
      <w:r>
        <w:t xml:space="preserve">Iterative Delivery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Initial prototype: single-model extraction with InternVL3.5-8B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Oct–Dec 2025</w:t>
            </w:r>
          </w:p>
        </w:tc>
        <w:tc>
          <w:tcPr/>
          <w:p>
            <w:pPr>
              <w:pStyle w:val="Compact"/>
            </w:pPr>
            <w:r>
              <w:t xml:space="preserve">Bank statement multi-turn extraction, structure classification, balance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 2025</w:t>
            </w:r>
          </w:p>
        </w:tc>
        <w:tc>
          <w:tcPr/>
          <w:p>
            <w:pPr>
              <w:pStyle w:val="Compact"/>
            </w:pPr>
            <w:r>
              <w:t xml:space="preserve">Model comparison framework: dashboards, F1 metrics, Cohen’s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 2025</w:t>
            </w:r>
          </w:p>
        </w:tc>
        <w:tc>
          <w:tcPr/>
          <w:p>
            <w:pPr>
              <w:pStyle w:val="Compact"/>
            </w:pPr>
            <w:r>
              <w:t xml:space="preserve">Identified V100 limitations (16 GiB, no Flash Attention 2), authored A10G migration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2025 – Feb 2026</w:t>
            </w:r>
          </w:p>
        </w:tc>
        <w:tc>
          <w:tcPr/>
          <w:p>
            <w:pPr>
              <w:pStyle w:val="Compact"/>
            </w:pPr>
            <w:r>
              <w:t xml:space="preserve">Executed V100 -&gt; A10G migration, resolved 15+ Flash Attention 2 compatibility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Multi-model CLI, batch inference, model registry, KFP composable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Multi-GPU parallelism (ThreadPoolExecutor), 4x A10G production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Feb–Mar 2026</w:t>
            </w:r>
          </w:p>
        </w:tc>
        <w:tc>
          <w:tcPr/>
          <w:p>
            <w:pPr>
              <w:pStyle w:val="Compact"/>
            </w:pPr>
            <w:r>
              <w:t xml:space="preserve">CoP presentations, design decision documentation, evaluation methodology defence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Transaction linking (receipt-to-bank matching), staged extraction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 2026</w:t>
            </w:r>
          </w:p>
        </w:tc>
        <w:tc>
          <w:tcPr/>
          <w:p>
            <w:pPr>
              <w:pStyle w:val="Compact"/>
            </w:pPr>
            <w:r>
              <w:t xml:space="preserve">SDPA attention fix, adaptive tile selection, GPU load balancing experiments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96696a0a04ca5a571b2b0fdcd1c896d0262b94d"/>
    <w:p>
      <w:pPr>
        <w:pStyle w:val="Heading2"/>
      </w:pPr>
      <w:r>
        <w:t xml:space="preserve">Criterion 6: Critical Thinking, Continuous Improvement, Problem Solving, and Innovation</w:t>
      </w:r>
    </w:p>
    <w:bookmarkStart w:id="30" w:name="systematic-problem-solving"/>
    <w:p>
      <w:pPr>
        <w:pStyle w:val="Heading3"/>
      </w:pPr>
      <w:r>
        <w:t xml:space="preserve">Systematic Problem Solving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V100 to A10G GPU migration (Nov 2025 – Feb 2026)</w:t>
      </w:r>
      <w:r>
        <w:t xml:space="preserve">: The project initially deployed on V100 GPUs (16 GiB HBM2), which forced 8-bit quantization via BitsAndBytesConfig to fit the model into memory – degrading extraction accuracy. V100s also lack support for Flash Attention 2 (requires Ampere architecture or later), limiting inference efficiency. Systematically investigated the constraints: documented V100 dtype handling and precision fallbacks (Nov 2025), authored a migration plan to A10G GPUs (24 GiB GDDR6X, Ampere architecture) in late Nov 2025, then executed the migration over Dec 2025 – Feb 2026. The A10G migration itself uncovered a cascade of Flash Attention 2 compatibility issues requiring 15+ commits to resolve: pre-built wheel failures due to missing CUDA kernels, CXX11 ABI mismatches between the wheel and the runtime environment, NFS cross-device link workarounds for shared storage, and ultimately building flash-attn from source tarball. Outcome: full-precision (float16) inference on A10G with Flash Attention 2 enabled, eliminating the accuracy penalty of quantization and unlocking memory-efficient attention for higher tile counts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SDPA attention OOM fix (Mar 2026)</w:t>
      </w:r>
      <w:r>
        <w:t xml:space="preserve">: Traced a production GPU memory failure through 7 iterative commits – from initial hypothesis (wrong attention implementation) through debugging attention output layouts, grouped-query attention head mismatches, and broadcastable mask handling to a verified solution. Required reading PyTorch and transformers source code to understand the interaction between the model’s eager attention, the SDPA backend selection heuristics, and the flash/memory-efficient kernel eligibility criteria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GPU load balancing investigation (Mar 2026)</w:t>
      </w:r>
      <w:r>
        <w:t xml:space="preserve">: Systematically evaluated 4 different approaches to distributing work across GPUs (contiguous partitioning, random shuffle, type-aware round-robin, dynamic work-queue dispatch). Each was implemented, measured on production data, and assessed against throughput metrics. Empirically determined that static partitioning with batched inference outperforms dynamic dispatch by 60% – contradicting the theoretical expectation that dynamic dispatch would be optimal. Accepted the evidence and reverted to the simpler, faster approach</w:t>
      </w:r>
    </w:p>
    <w:bookmarkEnd w:id="30"/>
    <w:bookmarkStart w:id="31" w:name="continuous-improvement"/>
    <w:p>
      <w:pPr>
        <w:pStyle w:val="Heading3"/>
      </w:pPr>
      <w:r>
        <w:t xml:space="preserve">Continuous Improvement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Bank statement extraction evolution (Oct 2025 – Feb 2026)</w:t>
      </w:r>
      <w:r>
        <w:t xml:space="preserve">: Progressed from single-turn flat extraction (poor accuracy on complex layouts) through multi-turn protocols, adding date format classification, dynamic column detection, and mathematical balance correction at each iteration – driven by systematic error analysis on diverse real-world bank statement formats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Evaluation framework maturation (Nov 2025 – Mar 2026)</w:t>
      </w:r>
      <w:r>
        <w:t xml:space="preserve">: Started with simple accuracy, added F1/precision/recall, then semantic normalisation for dates and amounts, then Cohen’s d for statistical significance, then confusion matrices for classification analysis – each addition driven by a specific gap identified during model comparison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PyTorch OOM cleanup pattern (Feb 2026)</w:t>
      </w:r>
      <w:r>
        <w:t xml:space="preserve">: Discovered that calling</w:t>
      </w:r>
      <w:r>
        <w:t xml:space="preserve"> </w:t>
      </w:r>
      <w:r>
        <w:rPr>
          <w:rStyle w:val="VerbatimChar"/>
        </w:rPr>
        <w:t xml:space="preserve">torch.cuda.empty_cache()</w:t>
      </w:r>
      <w:r>
        <w:t xml:space="preserve"> </w:t>
      </w:r>
      <w:r>
        <w:t xml:space="preserve">inside Python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 is ineffective because the traceback holds references to activation tensors. Documented the correct pattern (flag-and-exit) for the team</w:t>
      </w:r>
    </w:p>
    <w:bookmarkEnd w:id="31"/>
    <w:bookmarkStart w:id="32" w:name="innovation"/>
    <w:p>
      <w:pPr>
        <w:pStyle w:val="Heading3"/>
      </w:pPr>
      <w:r>
        <w:t xml:space="preserve">Innovation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Multi-turn bank statement extraction (Oct–Dec 2025)</w:t>
      </w:r>
      <w:r>
        <w:t xml:space="preserve">: Designed a novel 4-turn conversational protocol that decomposes the complex task of extracting structured data from variable-format bank statements into manageable sub-tasks, with each turn’s output informing the next turn’s prompt. This approach handles layout variations that single-pass extraction cannot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Transaction linking with chain-of-thought (Mar 2026)</w:t>
      </w:r>
      <w:r>
        <w:t xml:space="preserve">: Extended document extraction into financial reconciliation by designing a multi-stage pipeline where the VLM performs receipt-to-bank-debit matching with explicit reasoning (AMOUNT_CHECK, NAME_CHECK fields), confidence scoring, and partial match classification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Attention mechanism monkey-patching (Mar 2026)</w:t>
      </w:r>
      <w:r>
        <w:t xml:space="preserve">: Developed a technique to replace the transformers library’s global attention function registry at runtime, routing eager attention through PyTorch SDPA without modifying library source code – enabling flash/memory-efficient backends on models that don’t natively support them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antitative-summary"/>
    <w:p>
      <w:pPr>
        <w:pStyle w:val="Heading2"/>
      </w:pPr>
      <w:r>
        <w:t xml:space="preserve">Quantitative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period</w:t>
            </w:r>
          </w:p>
        </w:tc>
        <w:tc>
          <w:tcPr/>
          <w:p>
            <w:pPr>
              <w:pStyle w:val="Compact"/>
            </w:pPr>
            <w:r>
              <w:t xml:space="preserve">5 months (Oct 2025 – Mar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commits</w:t>
            </w:r>
          </w:p>
        </w:tc>
        <w:tc>
          <w:tcPr/>
          <w:p>
            <w:pPr>
              <w:pStyle w:val="Compact"/>
            </w:pPr>
            <w:r>
              <w:t xml:space="preserve">~1,058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branches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integrated</w:t>
            </w:r>
          </w:p>
        </w:tc>
        <w:tc>
          <w:tcPr/>
          <w:p>
            <w:pPr>
              <w:pStyle w:val="Compact"/>
            </w:pPr>
            <w:r>
              <w:t xml:space="preserve">5 VLMs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</w:pPr>
            <w:r>
              <w:t xml:space="preserve">5 (receipt, invoice, bank statement, travel expense, vehicle logbook)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extraction accuracy</w:t>
            </w:r>
          </w:p>
        </w:tc>
        <w:tc>
          <w:tcPr/>
          <w:p>
            <w:pPr>
              <w:pStyle w:val="Compact"/>
            </w:pPr>
            <w:r>
              <w:t xml:space="preserve">95.0%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Multi-GPU throughput</w:t>
            </w:r>
          </w:p>
        </w:tc>
        <w:tc>
          <w:tcPr/>
          <w:p>
            <w:pPr>
              <w:pStyle w:val="Compact"/>
            </w:pPr>
            <w:r>
              <w:t xml:space="preserve">4.25 images/min (4x A10G)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architectures tested</w:t>
            </w:r>
          </w:p>
        </w:tc>
        <w:tc>
          <w:tcPr/>
          <w:p>
            <w:pPr>
              <w:pStyle w:val="Compact"/>
            </w:pPr>
            <w:r>
              <w:t xml:space="preserve">4 (V100, A10G, L4, L40S)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Composable pipeline stages</w:t>
            </w:r>
          </w:p>
        </w:tc>
        <w:tc>
          <w:tcPr/>
          <w:p>
            <w:pPr>
              <w:pStyle w:val="Compact"/>
            </w:pPr>
            <w:r>
              <w:t xml:space="preserve">3 (classify, extract, evaluate)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statement extraction turns</w:t>
            </w:r>
          </w:p>
        </w:tc>
        <w:tc>
          <w:tcPr/>
          <w:p>
            <w:pPr>
              <w:pStyle w:val="Compact"/>
            </w:pPr>
            <w:r>
              <w:t xml:space="preserve">4 conversational turns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2026-03-26T00:43:01Z</dcterms:created>
  <dcterms:modified xsi:type="dcterms:W3CDTF">2026-03-26T00:43:01Z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