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20d377a968404171007f4b1ff63b65589bdc127"/>
    <w:p>
      <w:pPr>
        <w:pStyle w:val="Heading1"/>
      </w:pPr>
      <w:r>
        <w:t xml:space="preserve">Appendix A: Bank Statement-Specific Investigation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December 2025</w:t>
      </w:r>
      <w:r>
        <w:t xml:space="preserve"> </w:t>
      </w:r>
      <w:r>
        <w:rPr>
          <w:b/>
          <w:bCs/>
        </w:rPr>
        <w:t xml:space="preserve">Dataset</w:t>
      </w:r>
      <w:r>
        <w:t xml:space="preserve">: 12 synthetic CBA (Commonwealth Bank) bank statement images</w:t>
      </w:r>
      <w:r>
        <w:t xml:space="preserve"> </w:t>
      </w:r>
      <w:r>
        <w:rPr>
          <w:b/>
          <w:bCs/>
        </w:rPr>
        <w:t xml:space="preserve">Notebook</w:t>
      </w:r>
      <w:r>
        <w:t xml:space="preserve">:</w:t>
      </w:r>
      <w:r>
        <w:t xml:space="preserve"> </w:t>
      </w:r>
      <w:r>
        <w:rPr>
          <w:rStyle w:val="VerbatimChar"/>
        </w:rPr>
        <w:t xml:space="preserve">bank_statement/bank_model_comparison.ipynb</w:t>
      </w:r>
      <w:r>
        <w:t xml:space="preserve"> </w:t>
      </w:r>
      <w:r>
        <w:rPr>
          <w:b/>
          <w:bCs/>
        </w:rPr>
        <w:t xml:space="preserve">Test Environment</w:t>
      </w:r>
      <w:r>
        <w:t xml:space="preserve">: Single L40 GPU (24GB VRAM)</w:t>
      </w:r>
    </w:p>
    <w:p>
      <w:r>
        <w:pict>
          <v:rect style="width:0;height:1.5pt" o:hralign="center" o:hrstd="t" o:hr="t"/>
        </w:pict>
      </w:r>
    </w:p>
    <w:bookmarkStart w:id="20" w:name="a.1-overview"/>
    <w:p>
      <w:pPr>
        <w:pStyle w:val="Heading2"/>
      </w:pPr>
      <w:r>
        <w:t xml:space="preserve">A.1 Overview</w:t>
      </w:r>
    </w:p>
    <w:p>
      <w:pPr>
        <w:pStyle w:val="FirstParagraph"/>
      </w:pPr>
      <w:r>
        <w:t xml:space="preserve">This appendix documents a focused investigation into bank statement extraction performance, using a</w:t>
      </w:r>
      <w:r>
        <w:t xml:space="preserve"> </w:t>
      </w:r>
      <w:r>
        <w:rPr>
          <w:b/>
          <w:bCs/>
        </w:rPr>
        <w:t xml:space="preserve">synthetic CBA-specific dataset</w:t>
      </w:r>
      <w:r>
        <w:t xml:space="preserve"> </w:t>
      </w:r>
      <w:r>
        <w:t xml:space="preserve">designed to test challenging extraction scenarios including:</w:t>
      </w:r>
    </w:p>
    <w:p>
      <w:pPr>
        <w:pStyle w:val="Compact"/>
        <w:numPr>
          <w:ilvl w:val="0"/>
          <w:numId w:val="1001"/>
        </w:numPr>
      </w:pPr>
      <w:r>
        <w:t xml:space="preserve">Date-grouped transactions</w:t>
      </w:r>
    </w:p>
    <w:p>
      <w:pPr>
        <w:pStyle w:val="Compact"/>
        <w:numPr>
          <w:ilvl w:val="0"/>
          <w:numId w:val="1001"/>
        </w:numPr>
      </w:pPr>
      <w:r>
        <w:t xml:space="preserve">Multi-line transaction descriptions</w:t>
      </w:r>
    </w:p>
    <w:p>
      <w:pPr>
        <w:pStyle w:val="Compact"/>
        <w:numPr>
          <w:ilvl w:val="0"/>
          <w:numId w:val="1001"/>
        </w:numPr>
      </w:pPr>
      <w:r>
        <w:t xml:space="preserve">Debit/credit column alignment</w:t>
      </w:r>
    </w:p>
    <w:p>
      <w:pPr>
        <w:pStyle w:val="Compact"/>
        <w:numPr>
          <w:ilvl w:val="0"/>
          <w:numId w:val="1001"/>
        </w:numPr>
      </w:pPr>
      <w:r>
        <w:t xml:space="preserve">Balance reconciliation</w:t>
      </w:r>
    </w:p>
    <w:p>
      <w:pPr>
        <w:pStyle w:val="Compact"/>
        <w:numPr>
          <w:ilvl w:val="0"/>
          <w:numId w:val="1001"/>
        </w:numPr>
      </w:pPr>
      <w:r>
        <w:t xml:space="preserve">Reverse chronological ordering</w:t>
      </w:r>
    </w:p>
    <w:p>
      <w:pPr>
        <w:pStyle w:val="FirstParagraph"/>
      </w:pPr>
      <w:r>
        <w:rPr>
          <w:b/>
          <w:bCs/>
        </w:rPr>
        <w:t xml:space="preserve">Hardware Limitation</w:t>
      </w:r>
      <w:r>
        <w:t xml:space="preserve">: The single L40 GPU (24GB VRAM) constrained InternVL3 models to</w:t>
      </w:r>
      <w:r>
        <w:t xml:space="preserve"> </w:t>
      </w:r>
      <w:r>
        <w:rPr>
          <w:b/>
          <w:bCs/>
        </w:rPr>
        <w:t xml:space="preserve">12 image patches maximum</w:t>
      </w:r>
      <w:r>
        <w:t xml:space="preserve">, reducing their effective resolution. This compromises both InternVL3-8B and InternVL3.5-8B performance—results would likely improve with more VRAM allowing higher patch counts. Despite this limitation, InternVL3.5 still dramatically outperforms InternVL3, demonstrating the value of Cascade RL training.</w:t>
      </w:r>
    </w:p>
    <w:p>
      <w:r>
        <w:pict>
          <v:rect style="width:0;height:1.5pt" o:hralign="center" o:hrstd="t" o:hr="t"/>
        </w:pict>
      </w:r>
    </w:p>
    <w:bookmarkEnd w:id="20"/>
    <w:bookmarkStart w:id="22" w:name="a.2-models-tested"/>
    <w:p>
      <w:pPr>
        <w:pStyle w:val="Heading2"/>
      </w:pPr>
      <w:r>
        <w:t xml:space="preserve">A.2 Models Tested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2160"/>
        <w:gridCol w:w="23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Key Feature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Llama-3.2-Vision</w:t>
            </w:r>
          </w:p>
        </w:tc>
        <w:tc>
          <w:tcPr/>
          <w:p>
            <w:pPr>
              <w:pStyle w:val="Compact"/>
            </w:pPr>
            <w:r>
              <w:t xml:space="preserve">11B</w:t>
            </w:r>
          </w:p>
        </w:tc>
        <w:tc>
          <w:tcPr/>
          <w:p>
            <w:pPr>
              <w:pStyle w:val="Compact"/>
            </w:pPr>
            <w:r>
              <w:t xml:space="preserve">Built-in preprocessing</w:t>
            </w:r>
          </w:p>
        </w:tc>
        <w:tc>
          <w:tcPr/>
          <w:p>
            <w:pPr>
              <w:pStyle w:val="Compact"/>
            </w:pPr>
            <w:r>
              <w:t xml:space="preserve">Full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InternVL3-8B</w:t>
            </w:r>
          </w:p>
        </w:tc>
        <w:tc>
          <w:tcPr/>
          <w:p>
            <w:pPr>
              <w:pStyle w:val="Compact"/>
            </w:pPr>
            <w:r>
              <w:t xml:space="preserve">8B</w:t>
            </w:r>
          </w:p>
        </w:tc>
        <w:tc>
          <w:tcPr/>
          <w:p>
            <w:pPr>
              <w:pStyle w:val="Compact"/>
            </w:pPr>
            <w:r>
              <w:t xml:space="preserve">Native Multimodal Pre-training, V2PE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patches max</w:t>
            </w:r>
            <w:r>
              <w:t xml:space="preserve"> </w:t>
            </w: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InternVL3.5-8B</w:t>
            </w:r>
          </w:p>
        </w:tc>
        <w:tc>
          <w:tcPr/>
          <w:p>
            <w:pPr>
              <w:pStyle w:val="Compact"/>
            </w:pPr>
            <w:r>
              <w:t xml:space="preserve">8B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Cascade RL</w:t>
            </w:r>
            <w:r>
              <w:t xml:space="preserve">, Visual Resolution Router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patches max</w:t>
            </w:r>
            <w:r>
              <w:t xml:space="preserve"> </w:t>
            </w:r>
            <w:r>
              <w:t xml:space="preserve">⚠️</w:t>
            </w:r>
          </w:p>
        </w:tc>
      </w:tr>
    </w:tbl>
    <w:bookmarkStart w:id="21" w:name="key-difference-internvl3-vs-internvl3.5"/>
    <w:p>
      <w:pPr>
        <w:pStyle w:val="Heading3"/>
      </w:pPr>
      <w:r>
        <w:t xml:space="preserve">Key Difference: InternVL3 vs InternVL3.5</w:t>
      </w:r>
    </w:p>
    <w:p>
      <w:pPr>
        <w:pStyle w:val="FirstParagraph"/>
      </w:pPr>
      <w:r>
        <w:t xml:space="preserve">InternVL3.5 (August 2025) introduced</w:t>
      </w:r>
      <w:r>
        <w:t xml:space="preserve"> </w:t>
      </w:r>
      <w:r>
        <w:rPr>
          <w:b/>
          <w:bCs/>
        </w:rPr>
        <w:t xml:space="preserve">Cascade Reinforcement Learning</w:t>
      </w:r>
      <w:r>
        <w:t xml:space="preserve">, a two-stage training approach: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Stage 1 - Offline RL (MPO)</w:t>
      </w:r>
      <w:r>
        <w:t xml:space="preserve">: Stable convergence with controlled sampling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Stage 2 - Online RL (GSPO)</w:t>
      </w:r>
      <w:r>
        <w:t xml:space="preserve">: Fine-grained alignment through online rollouts</w:t>
      </w:r>
    </w:p>
    <w:p>
      <w:pPr>
        <w:pStyle w:val="FirstParagraph"/>
      </w:pPr>
      <w:r>
        <w:t xml:space="preserve">This produces more consistent, reliable outputs—critical for structured document extraction where variance is as important as mean accuracy.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a.3-results-summary"/>
    <w:p>
      <w:pPr>
        <w:pStyle w:val="Heading2"/>
      </w:pPr>
      <w:r>
        <w:t xml:space="preserve">A.3 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Avg Accuracy</w:t>
            </w:r>
          </w:p>
        </w:tc>
        <w:tc>
          <w:tcPr/>
          <w:p>
            <w:pPr>
              <w:pStyle w:val="Compact"/>
            </w:pPr>
            <w:r>
              <w:t xml:space="preserve">Avg Time</w:t>
            </w:r>
          </w:p>
        </w:tc>
        <w:tc>
          <w:tcPr/>
          <w:p>
            <w:pPr>
              <w:pStyle w:val="Compact"/>
            </w:pPr>
            <w:r>
              <w:t xml:space="preserve">Std Dev</w:t>
            </w:r>
          </w:p>
        </w:tc>
        <w:tc>
          <w:tcPr/>
          <w:p>
            <w:pPr>
              <w:pStyle w:val="Compact"/>
            </w:pPr>
            <w:r>
              <w:t xml:space="preserve">Docs/min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Llama-3.2-Vision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85.9%</w:t>
            </w:r>
            <w:r>
              <w:t xml:space="preserve"> </w:t>
            </w:r>
            <w:r>
              <w:t xml:space="preserve">🥇</w:t>
            </w:r>
          </w:p>
        </w:tc>
        <w:tc>
          <w:tcPr/>
          <w:p>
            <w:pPr>
              <w:pStyle w:val="Compact"/>
            </w:pPr>
            <w:r>
              <w:t xml:space="preserve">271.7s</w:t>
            </w:r>
          </w:p>
        </w:tc>
        <w:tc>
          <w:tcPr/>
          <w:p>
            <w:pPr>
              <w:pStyle w:val="Compact"/>
            </w:pPr>
            <w:r>
              <w:t xml:space="preserve">22.3%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InternVL3.5-8B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84.3%</w:t>
            </w:r>
            <w:r>
              <w:t xml:space="preserve"> </w:t>
            </w:r>
            <w:r>
              <w:t xml:space="preserve">🥈</w:t>
            </w:r>
          </w:p>
        </w:tc>
        <w:tc>
          <w:tcPr/>
          <w:p>
            <w:pPr>
              <w:pStyle w:val="Compact"/>
            </w:pPr>
            <w:r>
              <w:t xml:space="preserve">106.6s</w:t>
            </w:r>
          </w:p>
        </w:tc>
        <w:tc>
          <w:tcPr/>
          <w:p>
            <w:pPr>
              <w:pStyle w:val="Compact"/>
            </w:pPr>
            <w:r>
              <w:t xml:space="preserve">24.4%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InternVL3-8B</w:t>
            </w:r>
          </w:p>
        </w:tc>
        <w:tc>
          <w:tcPr/>
          <w:p>
            <w:pPr>
              <w:pStyle w:val="Compact"/>
            </w:pPr>
            <w:r>
              <w:t xml:space="preserve">56.3%</w:t>
            </w:r>
          </w:p>
        </w:tc>
        <w:tc>
          <w:tcPr/>
          <w:p>
            <w:pPr>
              <w:pStyle w:val="Compact"/>
            </w:pPr>
            <w:r>
              <w:t xml:space="preserve">82.2s</w:t>
            </w:r>
          </w:p>
        </w:tc>
        <w:tc>
          <w:tcPr/>
          <w:p>
            <w:pPr>
              <w:pStyle w:val="Compact"/>
            </w:pPr>
            <w:r>
              <w:t xml:space="preserve">30.8%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</w:tr>
    </w:tbl>
    <w:bookmarkStart w:id="23" w:name="critical-finding"/>
    <w:p>
      <w:pPr>
        <w:pStyle w:val="Heading3"/>
      </w:pPr>
      <w:r>
        <w:t xml:space="preserve">Critical Finding</w:t>
      </w:r>
    </w:p>
    <w:p>
      <w:pPr>
        <w:pStyle w:val="FirstParagraph"/>
      </w:pPr>
      <w:r>
        <w:rPr>
          <w:b/>
          <w:bCs/>
        </w:rPr>
        <w:t xml:space="preserve">InternVL3.5-8B achieves 28 percentage points higher accuracy than InternVL3-8B</w:t>
      </w:r>
      <w:r>
        <w:t xml:space="preserve"> </w:t>
      </w:r>
      <w:r>
        <w:t xml:space="preserve">on bank statement extraction, despite:</w:t>
      </w:r>
      <w:r>
        <w:t xml:space="preserve"> </w:t>
      </w:r>
      <w:r>
        <w:t xml:space="preserve">- Near-identical DocVQA benchmark scores (~92%)</w:t>
      </w:r>
      <w:r>
        <w:t xml:space="preserve"> </w:t>
      </w:r>
      <w:r>
        <w:t xml:space="preserve">- Same model architecture (ViT-MLP-LLM)</w:t>
      </w:r>
      <w:r>
        <w:t xml:space="preserve"> </w:t>
      </w:r>
      <w:r>
        <w:t xml:space="preserve">- Same parameter count (8B)</w:t>
      </w:r>
    </w:p>
    <w:p>
      <w:pPr>
        <w:pStyle w:val="BodyText"/>
      </w:pPr>
      <w:r>
        <w:t xml:space="preserve">This demonstrates that</w:t>
      </w:r>
      <w:r>
        <w:t xml:space="preserve"> </w:t>
      </w:r>
      <w:r>
        <w:rPr>
          <w:b/>
          <w:bCs/>
        </w:rPr>
        <w:t xml:space="preserve">standard benchmarks fail to capture real-world structured extraction difficulty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.4-field-level-performance"/>
    <w:p>
      <w:pPr>
        <w:pStyle w:val="Heading2"/>
      </w:pPr>
      <w:r>
        <w:t xml:space="preserve">A.4 Field-Level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Llama-3.2</w:t>
            </w:r>
          </w:p>
        </w:tc>
        <w:tc>
          <w:tcPr/>
          <w:p>
            <w:pPr>
              <w:pStyle w:val="Compact"/>
            </w:pPr>
            <w:r>
              <w:t xml:space="preserve">InternVL3-8B</w:t>
            </w:r>
          </w:p>
        </w:tc>
        <w:tc>
          <w:tcPr/>
          <w:p>
            <w:pPr>
              <w:pStyle w:val="Compact"/>
            </w:pPr>
            <w:r>
              <w:t xml:space="preserve">InternVL3.5-8B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 Date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Date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Item Descr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  <w:tc>
          <w:tcPr/>
          <w:p>
            <w:pPr>
              <w:pStyle w:val="Compact"/>
            </w:pPr>
            <w:r>
              <w:t xml:space="preserve">32%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Amt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</w:t>
      </w:r>
      <w:r>
        <w:t xml:space="preserve">: InternVL3-8B shows severe degradation on structured field extraction (Transaction Date: 40%, Line Item: 32%, Amount: 35%). InternVL3.5’s Cascade RL recovers performance to near-Llama levels across all fields.</w:t>
      </w:r>
    </w:p>
    <w:p>
      <w:r>
        <w:pict>
          <v:rect style="width:0;height:1.5pt" o:hralign="center" o:hrstd="t" o:hr="t"/>
        </w:pict>
      </w:r>
    </w:p>
    <w:bookmarkEnd w:id="25"/>
    <w:bookmarkStart w:id="29" w:name="a.5-why-internvl3-struggles"/>
    <w:p>
      <w:pPr>
        <w:pStyle w:val="Heading2"/>
      </w:pPr>
      <w:r>
        <w:t xml:space="preserve">A.5 Why InternVL3 Struggles</w:t>
      </w:r>
    </w:p>
    <w:p>
      <w:pPr>
        <w:pStyle w:val="FirstParagraph"/>
      </w:pPr>
      <w:r>
        <w:t xml:space="preserve">InternVL3 (April 2025) introduced architectural changes that may have hurt specialized extraction:</w:t>
      </w:r>
    </w:p>
    <w:bookmarkStart w:id="26" w:name="native-multimodal-pre-training"/>
    <w:p>
      <w:pPr>
        <w:pStyle w:val="Heading3"/>
      </w:pPr>
      <w:r>
        <w:t xml:space="preserve">Native Multimodal Pre-Training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Approach</w:t>
      </w:r>
      <w:r>
        <w:t xml:space="preserve">: Joint language+vision training from scratch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Trade-off</w:t>
      </w:r>
      <w:r>
        <w:t xml:space="preserve">: Optimizes for general multimodal understanding, may dilute document-specific capabilities</w:t>
      </w:r>
    </w:p>
    <w:bookmarkEnd w:id="26"/>
    <w:bookmarkStart w:id="27" w:name="variable-visual-position-encoding-v2pe"/>
    <w:p>
      <w:pPr>
        <w:pStyle w:val="Heading3"/>
      </w:pPr>
      <w:r>
        <w:t xml:space="preserve">Variable Visual Position Encoding (V2PE)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Approach</w:t>
      </w:r>
      <w:r>
        <w:t xml:space="preserve">: Smaller position increments (δ &lt; 1) for visual tokens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</w:t>
      </w:r>
      <w:r>
        <w:t xml:space="preserve">: Column alignment in bank statements depends on precise spatial positions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</w:t>
      </w:r>
      <w:r>
        <w:t xml:space="preserve">: Debit vs Credit column confusion increases</w:t>
      </w:r>
    </w:p>
    <w:bookmarkEnd w:id="27"/>
    <w:bookmarkStart w:id="28" w:name="training-data-expansion"/>
    <w:p>
      <w:pPr>
        <w:pStyle w:val="Heading3"/>
      </w:pPr>
      <w:r>
        <w:t xml:space="preserve">Training Data Expansion</w:t>
      </w:r>
    </w:p>
    <w:p>
      <w:pPr>
        <w:pStyle w:val="Compact"/>
        <w:numPr>
          <w:ilvl w:val="0"/>
          <w:numId w:val="1005"/>
        </w:numPr>
      </w:pPr>
      <w:r>
        <w:t xml:space="preserve">InternVL3 expanded to ~200B tokens covering GUI, tools, 3D, video</w:t>
      </w:r>
    </w:p>
    <w:p>
      <w:pPr>
        <w:pStyle w:val="Compact"/>
        <w:numPr>
          <w:ilvl w:val="0"/>
          <w:numId w:val="1005"/>
        </w:numPr>
      </w:pPr>
      <w:r>
        <w:t xml:space="preserve">This breadth may have diluted document-specific capabilities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a.6-why-internvl3.5-recovers"/>
    <w:p>
      <w:pPr>
        <w:pStyle w:val="Heading2"/>
      </w:pPr>
      <w:r>
        <w:t xml:space="preserve">A.6 Why InternVL3.5 Recovers</w:t>
      </w:r>
    </w:p>
    <w:p>
      <w:pPr>
        <w:pStyle w:val="FirstParagraph"/>
      </w:pPr>
      <w:r>
        <w:t xml:space="preserve">InternVL3.5’s</w:t>
      </w:r>
      <w:r>
        <w:t xml:space="preserve"> </w:t>
      </w:r>
      <w:r>
        <w:rPr>
          <w:b/>
          <w:bCs/>
        </w:rPr>
        <w:t xml:space="preserve">Cascade RL</w:t>
      </w:r>
      <w:r>
        <w:t xml:space="preserve"> </w:t>
      </w:r>
      <w:r>
        <w:t xml:space="preserve">addresses InternVL3’s regressions: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8"/>
        <w:gridCol w:w="1708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Impact on Bank Statements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Lower variance</w:t>
            </w:r>
          </w:p>
        </w:tc>
        <w:tc>
          <w:tcPr/>
          <w:p>
            <w:pPr>
              <w:pStyle w:val="Compact"/>
            </w:pPr>
            <w:r>
              <w:t xml:space="preserve">Two-stage RL stabilizes outputs</w:t>
            </w:r>
          </w:p>
        </w:tc>
        <w:tc>
          <w:tcPr/>
          <w:p>
            <w:pPr>
              <w:pStyle w:val="Compact"/>
            </w:pPr>
            <w:r>
              <w:t xml:space="preserve">Same transaction extracted consistently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Better reasoning</w:t>
            </w:r>
          </w:p>
        </w:tc>
        <w:tc>
          <w:tcPr/>
          <w:p>
            <w:pPr>
              <w:pStyle w:val="Compact"/>
            </w:pPr>
            <w:r>
              <w:t xml:space="preserve">MMMU +10.7 points</w:t>
            </w:r>
          </w:p>
        </w:tc>
        <w:tc>
          <w:tcPr/>
          <w:p>
            <w:pPr>
              <w:pStyle w:val="Compact"/>
            </w:pPr>
            <w:r>
              <w:t xml:space="preserve">Multi-step extraction pipeline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allocation</w:t>
            </w:r>
          </w:p>
        </w:tc>
        <w:tc>
          <w:tcPr/>
          <w:p>
            <w:pPr>
              <w:pStyle w:val="Compact"/>
            </w:pPr>
            <w:r>
              <w:t xml:space="preserve">Visual Resolution Router</w:t>
            </w:r>
          </w:p>
        </w:tc>
        <w:tc>
          <w:tcPr/>
          <w:p>
            <w:pPr>
              <w:pStyle w:val="Compact"/>
            </w:pPr>
            <w:r>
              <w:t xml:space="preserve">More tokens to transaction tables</w:t>
            </w:r>
          </w:p>
        </w:tc>
      </w:tr>
    </w:tbl>
    <w:bookmarkStart w:id="30" w:name="benchmark-evidence"/>
    <w:p>
      <w:pPr>
        <w:pStyle w:val="Heading3"/>
      </w:pPr>
      <w:r>
        <w:t xml:space="preserve">Benchmark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InternVL3-8B</w:t>
            </w:r>
          </w:p>
        </w:tc>
        <w:tc>
          <w:tcPr/>
          <w:p>
            <w:pPr>
              <w:pStyle w:val="Compact"/>
            </w:pPr>
            <w:r>
              <w:t xml:space="preserve">InternVL3.5-8B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MMMU</w:t>
            </w:r>
          </w:p>
        </w:tc>
        <w:tc>
          <w:tcPr/>
          <w:p>
            <w:pPr>
              <w:pStyle w:val="Compact"/>
            </w:pPr>
            <w:r>
              <w:t xml:space="preserve">62.7%</w:t>
            </w:r>
          </w:p>
        </w:tc>
        <w:tc>
          <w:tcPr/>
          <w:p>
            <w:pPr>
              <w:pStyle w:val="Compact"/>
            </w:pPr>
            <w:r>
              <w:t xml:space="preserve">73.4%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DocVQA</w:t>
            </w:r>
          </w:p>
        </w:tc>
        <w:tc>
          <w:tcPr/>
          <w:p>
            <w:pPr>
              <w:pStyle w:val="Compact"/>
            </w:pPr>
            <w:r>
              <w:t xml:space="preserve">92.7%</w:t>
            </w:r>
          </w:p>
        </w:tc>
        <w:tc>
          <w:tcPr/>
          <w:p>
            <w:pPr>
              <w:pStyle w:val="Compact"/>
            </w:pPr>
            <w:r>
              <w:t xml:space="preserve">92.3%</w:t>
            </w:r>
          </w:p>
        </w:tc>
        <w:tc>
          <w:tcPr/>
          <w:p>
            <w:pPr>
              <w:pStyle w:val="Compact"/>
            </w:pPr>
            <w:r>
              <w:t xml:space="preserve">-0.4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MathVista</w:t>
            </w:r>
          </w:p>
        </w:tc>
        <w:tc>
          <w:tcPr/>
          <w:p>
            <w:pPr>
              <w:pStyle w:val="Compact"/>
            </w:pPr>
            <w:r>
              <w:t xml:space="preserve">~58%</w:t>
            </w:r>
          </w:p>
        </w:tc>
        <w:tc>
          <w:tcPr/>
          <w:p>
            <w:pPr>
              <w:pStyle w:val="Compact"/>
            </w:pPr>
            <w:r>
              <w:t xml:space="preserve">~68%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MMMU improvement</w:t>
      </w:r>
      <w:r>
        <w:t xml:space="preserve"> </w:t>
      </w:r>
      <w:r>
        <w:t xml:space="preserve">(+10.7 points) is the key predictor—it tests multi-step reasoning, exactly what bank statement extraction requires.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.7-efficiency-analysis"/>
    <w:p>
      <w:pPr>
        <w:pStyle w:val="Heading2"/>
      </w:pPr>
      <w:r>
        <w:t xml:space="preserve">A.7 Efficiency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Llama-3.2-Vision</w:t>
            </w:r>
          </w:p>
        </w:tc>
        <w:tc>
          <w:tcPr/>
          <w:p>
            <w:pPr>
              <w:pStyle w:val="Compact"/>
            </w:pPr>
            <w:r>
              <w:t xml:space="preserve">InternVL3-8B</w:t>
            </w:r>
          </w:p>
        </w:tc>
        <w:tc>
          <w:tcPr/>
          <w:p>
            <w:pPr>
              <w:pStyle w:val="Compact"/>
            </w:pPr>
            <w:r>
              <w:t xml:space="preserve">InternVL3.5-8B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Time</w:t>
            </w:r>
          </w:p>
        </w:tc>
        <w:tc>
          <w:tcPr/>
          <w:p>
            <w:pPr>
              <w:pStyle w:val="Compact"/>
            </w:pPr>
            <w:r>
              <w:t xml:space="preserve">271.7s</w:t>
            </w:r>
          </w:p>
        </w:tc>
        <w:tc>
          <w:tcPr/>
          <w:p>
            <w:pPr>
              <w:pStyle w:val="Compact"/>
            </w:pPr>
            <w:r>
              <w:t xml:space="preserve">82.2s</w:t>
            </w:r>
          </w:p>
        </w:tc>
        <w:tc>
          <w:tcPr/>
          <w:p>
            <w:pPr>
              <w:pStyle w:val="Compact"/>
            </w:pPr>
            <w:r>
              <w:t xml:space="preserve">106.6s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85.9%</w:t>
            </w:r>
          </w:p>
        </w:tc>
        <w:tc>
          <w:tcPr/>
          <w:p>
            <w:pPr>
              <w:pStyle w:val="Compact"/>
            </w:pPr>
            <w:r>
              <w:t xml:space="preserve">56.3%</w:t>
            </w:r>
          </w:p>
        </w:tc>
        <w:tc>
          <w:tcPr/>
          <w:p>
            <w:pPr>
              <w:pStyle w:val="Compact"/>
            </w:pPr>
            <w:r>
              <w:t xml:space="preserve">84.3%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Accuracy/Time</w:t>
            </w:r>
          </w:p>
        </w:tc>
        <w:tc>
          <w:tcPr/>
          <w:p>
            <w:pPr>
              <w:pStyle w:val="Compact"/>
            </w:pPr>
            <w:r>
              <w:t xml:space="preserve">0.32%/s</w:t>
            </w:r>
          </w:p>
        </w:tc>
        <w:tc>
          <w:tcPr/>
          <w:p>
            <w:pPr>
              <w:pStyle w:val="Compact"/>
            </w:pPr>
            <w:r>
              <w:t xml:space="preserve">0.69%/s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0.79%/s</w:t>
            </w:r>
            <w:r>
              <w:t xml:space="preserve"> </w:t>
            </w:r>
            <w:r>
              <w:t xml:space="preserve">🏆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InternVL3.5-8B offers the best accuracy-per-second ratio</w:t>
      </w:r>
      <w:r>
        <w:t xml:space="preserve">—nearly matching Llama’s accuracy at 2.5× the speed.</w:t>
      </w:r>
    </w:p>
    <w:p>
      <w:r>
        <w:pict>
          <v:rect style="width:0;height:1.5pt" o:hralign="center" o:hrstd="t" o:hr="t"/>
        </w:pict>
      </w:r>
    </w:p>
    <w:bookmarkEnd w:id="32"/>
    <w:bookmarkStart w:id="33" w:name="a.8-problem-documents"/>
    <w:p>
      <w:pPr>
        <w:pStyle w:val="Heading2"/>
      </w:pPr>
      <w:r>
        <w:t xml:space="preserve">A.8 Problem Documents</w:t>
      </w:r>
    </w:p>
    <w:p>
      <w:pPr>
        <w:pStyle w:val="FirstParagraph"/>
      </w:pPr>
      <w:r>
        <w:t xml:space="preserve">Documents where at least one model scored below 85%: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911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Best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cba_highlighted.png</w:t>
            </w:r>
          </w:p>
        </w:tc>
        <w:tc>
          <w:tcPr/>
          <w:p>
            <w:pPr>
              <w:pStyle w:val="Compact"/>
            </w:pPr>
            <w:r>
              <w:t xml:space="preserve">Highlighted regions confuse extraction</w:t>
            </w:r>
          </w:p>
        </w:tc>
        <w:tc>
          <w:tcPr/>
          <w:p>
            <w:pPr>
              <w:pStyle w:val="Compact"/>
            </w:pPr>
            <w:r>
              <w:t xml:space="preserve">Llama (100%)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transaction_summary.png</w:t>
            </w:r>
          </w:p>
        </w:tc>
        <w:tc>
          <w:tcPr/>
          <w:p>
            <w:pPr>
              <w:pStyle w:val="Compact"/>
            </w:pPr>
            <w:r>
              <w:t xml:space="preserve">Summary format vs transaction table</w:t>
            </w:r>
          </w:p>
        </w:tc>
        <w:tc>
          <w:tcPr/>
          <w:p>
            <w:pPr>
              <w:pStyle w:val="Compact"/>
            </w:pPr>
            <w:r>
              <w:t xml:space="preserve">Llama (100%)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cba_date_grouped_cont.png</w:t>
            </w:r>
          </w:p>
        </w:tc>
        <w:tc>
          <w:tcPr/>
          <w:p>
            <w:pPr>
              <w:pStyle w:val="Compact"/>
            </w:pPr>
            <w:r>
              <w:t xml:space="preserve">Continuation page, no headers</w:t>
            </w:r>
          </w:p>
        </w:tc>
        <w:tc>
          <w:tcPr/>
          <w:p>
            <w:pPr>
              <w:pStyle w:val="Compact"/>
            </w:pPr>
            <w:r>
              <w:t xml:space="preserve">InternVL3.5 (50%)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synthetic_reverse_chrono.png</w:t>
            </w:r>
          </w:p>
        </w:tc>
        <w:tc>
          <w:tcPr/>
          <w:p>
            <w:pPr>
              <w:pStyle w:val="Compact"/>
            </w:pPr>
            <w:r>
              <w:t xml:space="preserve">Reverse date ordering</w:t>
            </w:r>
          </w:p>
        </w:tc>
        <w:tc>
          <w:tcPr/>
          <w:p>
            <w:pPr>
              <w:pStyle w:val="Compact"/>
            </w:pPr>
            <w:r>
              <w:t xml:space="preserve">All struggle (~43%)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image_009.png</w:t>
            </w:r>
          </w:p>
        </w:tc>
        <w:tc>
          <w:tcPr/>
          <w:p>
            <w:pPr>
              <w:pStyle w:val="Compact"/>
            </w:pPr>
            <w:r>
              <w:t xml:space="preserve">Complex multi-section layout</w:t>
            </w:r>
          </w:p>
        </w:tc>
        <w:tc>
          <w:tcPr/>
          <w:p>
            <w:pPr>
              <w:pStyle w:val="Compact"/>
            </w:pPr>
            <w:r>
              <w:t xml:space="preserve">All struggle (~42%)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</w:t>
      </w:r>
      <w:r>
        <w:t xml:space="preserve">: All models struggle with reverse chronological ordering and continuation pages—these may require prompt engineering or post-processing solutions.</w:t>
      </w:r>
    </w:p>
    <w:p>
      <w:r>
        <w:pict>
          <v:rect style="width:0;height:1.5pt" o:hralign="center" o:hrstd="t" o:hr="t"/>
        </w:pict>
      </w:r>
    </w:p>
    <w:bookmarkEnd w:id="33"/>
    <w:bookmarkStart w:id="36" w:name="a.9-recommendations"/>
    <w:p>
      <w:pPr>
        <w:pStyle w:val="Heading2"/>
      </w:pPr>
      <w:r>
        <w:t xml:space="preserve">A.9 Recommendations</w:t>
      </w:r>
    </w:p>
    <w:bookmarkStart w:id="34" w:name="for-bank-statement-production-workloads"/>
    <w:p>
      <w:pPr>
        <w:pStyle w:val="Heading3"/>
      </w:pPr>
      <w:r>
        <w:t xml:space="preserve">For Bank Statement Production Workloads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Best Accuracy</w:t>
      </w:r>
      <w:r>
        <w:t xml:space="preserve">: Llama-3.2-Vision (85.9%)</w:t>
      </w:r>
    </w:p>
    <w:p>
      <w:pPr>
        <w:pStyle w:val="Compact"/>
        <w:numPr>
          <w:ilvl w:val="1"/>
          <w:numId w:val="1007"/>
        </w:numPr>
      </w:pPr>
      <w:r>
        <w:t xml:space="preserve">Use when accuracy is paramount and latency is acceptable</w:t>
      </w:r>
    </w:p>
    <w:p>
      <w:pPr>
        <w:pStyle w:val="Compact"/>
        <w:numPr>
          <w:ilvl w:val="1"/>
          <w:numId w:val="1007"/>
        </w:numPr>
      </w:pPr>
      <w:r>
        <w:t xml:space="preserve">271.7s per document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Best Value</w:t>
      </w:r>
      <w:r>
        <w:t xml:space="preserve">: InternVL3.5-8B (84.3%)</w:t>
      </w:r>
    </w:p>
    <w:p>
      <w:pPr>
        <w:pStyle w:val="Compact"/>
        <w:numPr>
          <w:ilvl w:val="1"/>
          <w:numId w:val="1008"/>
        </w:numPr>
      </w:pPr>
      <w:r>
        <w:t xml:space="preserve">Near-Llama accuracy at 2.5× speed</w:t>
      </w:r>
    </w:p>
    <w:p>
      <w:pPr>
        <w:pStyle w:val="Compact"/>
        <w:numPr>
          <w:ilvl w:val="1"/>
          <w:numId w:val="1008"/>
        </w:numPr>
      </w:pPr>
      <w:r>
        <w:t xml:space="preserve">Best accuracy/time ratio (0.79%/s)</w:t>
      </w:r>
    </w:p>
    <w:p>
      <w:pPr>
        <w:pStyle w:val="Compact"/>
        <w:numPr>
          <w:ilvl w:val="1"/>
          <w:numId w:val="1008"/>
        </w:numPr>
      </w:pPr>
      <w:r>
        <w:t xml:space="preserve">106.6s per document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Avoid</w:t>
      </w:r>
      <w:r>
        <w:t xml:space="preserve">: InternVL3-8B</w:t>
      </w:r>
    </w:p>
    <w:p>
      <w:pPr>
        <w:pStyle w:val="Compact"/>
        <w:numPr>
          <w:ilvl w:val="1"/>
          <w:numId w:val="1009"/>
        </w:numPr>
      </w:pPr>
      <w:r>
        <w:t xml:space="preserve">High variance (30.8% std dev) causes unreliable outputs</w:t>
      </w:r>
    </w:p>
    <w:p>
      <w:pPr>
        <w:pStyle w:val="Compact"/>
        <w:numPr>
          <w:ilvl w:val="1"/>
          <w:numId w:val="1009"/>
        </w:numPr>
      </w:pPr>
      <w:r>
        <w:t xml:space="preserve">28 points lower accuracy than InternVL3.5</w:t>
      </w:r>
    </w:p>
    <w:bookmarkEnd w:id="34"/>
    <w:bookmarkStart w:id="35" w:name="future-testing"/>
    <w:p>
      <w:pPr>
        <w:pStyle w:val="Heading3"/>
      </w:pPr>
      <w:r>
        <w:t xml:space="preserve">Future Testing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Qwen2.5-VL-7B</w:t>
      </w:r>
      <w:r>
        <w:t xml:space="preserve">: Higher DocVQA (95.7%) suggests strong OCR—may outperform on bank statements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Prompt optimization</w:t>
      </w:r>
      <w:r>
        <w:t xml:space="preserve">: Address reverse chronological and continuation page failures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Adapter-based post-processing</w:t>
      </w:r>
      <w:r>
        <w:t xml:space="preserve">: Bank-specific adapters for CBA, ANZ, NAB, Westpac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a.10-technical-references"/>
    <w:p>
      <w:pPr>
        <w:pStyle w:val="Heading2"/>
      </w:pPr>
      <w:r>
        <w:t xml:space="preserve">A.10 Technical References</w:t>
      </w:r>
    </w:p>
    <w:p>
      <w:pPr>
        <w:pStyle w:val="Compact"/>
        <w:numPr>
          <w:ilvl w:val="0"/>
          <w:numId w:val="1011"/>
        </w:numPr>
      </w:pPr>
      <w:hyperlink r:id="rId37">
        <w:r>
          <w:rPr>
            <w:rStyle w:val="Hyperlink"/>
          </w:rPr>
          <w:t xml:space="preserve">InternVL3.5 Technical Report</w:t>
        </w:r>
      </w:hyperlink>
      <w:r>
        <w:t xml:space="preserve"> </w:t>
      </w:r>
      <w:r>
        <w:t xml:space="preserve">— Cascade RL, Visual Resolution Router</w:t>
      </w:r>
    </w:p>
    <w:p>
      <w:pPr>
        <w:pStyle w:val="Compact"/>
        <w:numPr>
          <w:ilvl w:val="0"/>
          <w:numId w:val="1011"/>
        </w:numPr>
      </w:pPr>
      <w:hyperlink r:id="rId38">
        <w:r>
          <w:rPr>
            <w:rStyle w:val="Hyperlink"/>
          </w:rPr>
          <w:t xml:space="preserve">InternVL3 Technical Report</w:t>
        </w:r>
      </w:hyperlink>
      <w:r>
        <w:t xml:space="preserve"> </w:t>
      </w:r>
      <w:r>
        <w:t xml:space="preserve">— Native Multimodal Pre-training, V2PE</w:t>
      </w:r>
    </w:p>
    <w:p>
      <w:pPr>
        <w:pStyle w:val="Compact"/>
        <w:numPr>
          <w:ilvl w:val="0"/>
          <w:numId w:val="1011"/>
        </w:numPr>
      </w:pPr>
      <w:hyperlink r:id="rId39">
        <w:r>
          <w:rPr>
            <w:rStyle w:val="Hyperlink"/>
          </w:rPr>
          <w:t xml:space="preserve">Bank Adapter Design</w:t>
        </w:r>
      </w:hyperlink>
      <w:r>
        <w:t xml:space="preserve"> </w:t>
      </w:r>
      <w:r>
        <w:t xml:space="preserve">— Strategy pattern for bank-specific extraction</w:t>
      </w:r>
    </w:p>
    <w:p>
      <w:pPr>
        <w:pStyle w:val="Compact"/>
        <w:numPr>
          <w:ilvl w:val="0"/>
          <w:numId w:val="1011"/>
        </w:numPr>
      </w:pPr>
      <w:hyperlink r:id="rId40">
        <w:r>
          <w:rPr>
            <w:rStyle w:val="Hyperlink"/>
          </w:rPr>
          <w:t xml:space="preserve">VLM Inductive Bias Analysis</w:t>
        </w:r>
      </w:hyperlink>
      <w:r>
        <w:t xml:space="preserve"> </w:t>
      </w:r>
      <w:r>
        <w:t xml:space="preserve">— Why VLMs struggle with structured documents</w:t>
      </w:r>
    </w:p>
    <w:p>
      <w:r>
        <w:pict>
          <v:rect style="width:0;height:1.5pt" o:hralign="center" o:hrstd="t" o:hr="t"/>
        </w:pict>
      </w:r>
    </w:p>
    <w:bookmarkEnd w:id="41"/>
    <w:bookmarkStart w:id="42" w:name="a.11-visualizations"/>
    <w:p>
      <w:pPr>
        <w:pStyle w:val="Heading2"/>
      </w:pPr>
      <w:r>
        <w:t xml:space="preserve">A.11 Visualizations</w:t>
      </w:r>
    </w:p>
    <w:p>
      <w:pPr>
        <w:pStyle w:val="FirstParagraph"/>
      </w:pPr>
      <w:r>
        <w:t xml:space="preserve">Generated by</w:t>
      </w:r>
      <w:r>
        <w:t xml:space="preserve"> </w:t>
      </w:r>
      <w:r>
        <w:rPr>
          <w:rStyle w:val="VerbatimChar"/>
        </w:rPr>
        <w:t xml:space="preserve">bank_statement/bank_model_comparison.ipynb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output/bank_model_dashboard.png</w:t>
      </w:r>
      <w:r>
        <w:t xml:space="preserve"> </w:t>
      </w:r>
      <w:r>
        <w:t xml:space="preserve">— Executive summary dashboard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output/bank_accuracy_comparison.png</w:t>
      </w:r>
      <w:r>
        <w:t xml:space="preserve"> </w:t>
      </w:r>
      <w:r>
        <w:t xml:space="preserve">— Accuracy distribution by model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output/bank_processing_time.png</w:t>
      </w:r>
      <w:r>
        <w:t xml:space="preserve"> </w:t>
      </w:r>
      <w:r>
        <w:t xml:space="preserve">— Processing time distribution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output/bank_field_f1_heatmap.png</w:t>
      </w:r>
      <w:r>
        <w:t xml:space="preserve"> </w:t>
      </w:r>
      <w:r>
        <w:t xml:space="preserve">— Field-level F1 scores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output/bank_per_document.png</w:t>
      </w:r>
      <w:r>
        <w:t xml:space="preserve"> </w:t>
      </w:r>
      <w:r>
        <w:t xml:space="preserve">— Per-document accuracy comparison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output/bank_accuracy_vs_time.png</w:t>
      </w:r>
      <w:r>
        <w:t xml:space="preserve"> </w:t>
      </w:r>
      <w:r>
        <w:t xml:space="preserve">— Efficiency scatter plot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Appendix generated December 2025 from CBA-specific synthetic dataset on L40 GPU (24GB VRAM, 12 patch limit for InternVL models)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bank_adapters/DESIGN_NOTES.md" TargetMode="External" /><Relationship Type="http://schemas.openxmlformats.org/officeDocument/2006/relationships/hyperlink" Id="rId40" Target="bank_adapters/VLM_INDUCTIVE_BIAS.md" TargetMode="External" /><Relationship Type="http://schemas.openxmlformats.org/officeDocument/2006/relationships/hyperlink" Id="rId38" Target="https://arxiv.org/abs/2504.10479" TargetMode="External" /><Relationship Type="http://schemas.openxmlformats.org/officeDocument/2006/relationships/hyperlink" Id="rId37" Target="https://arxiv.org/abs/2508.1826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bank_adapters/DESIGN_NOTES.md" TargetMode="External" /><Relationship Type="http://schemas.openxmlformats.org/officeDocument/2006/relationships/hyperlink" Id="rId40" Target="bank_adapters/VLM_INDUCTIVE_BIAS.md" TargetMode="External" /><Relationship Type="http://schemas.openxmlformats.org/officeDocument/2006/relationships/hyperlink" Id="rId38" Target="https://arxiv.org/abs/2504.10479" TargetMode="External" /><Relationship Type="http://schemas.openxmlformats.org/officeDocument/2006/relationships/hyperlink" Id="rId37" Target="https://arxiv.org/abs/2508.1826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2025-12-06T02:54:59Z</dcterms:created>
  <dcterms:modified xsi:type="dcterms:W3CDTF">2025-12-06T02:54:59Z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