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internvl3.5-8b---use-case-assessment"/>
    <w:p>
      <w:pPr>
        <w:pStyle w:val="Heading1"/>
      </w:pPr>
      <w:r>
        <w:t xml:space="preserve">InternVL3.5-8B - Use Case Assessment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Assessment of InternVL3.5-8B vision-language model capabilities against the proposed document processing use case for government/financial forms.</w:t>
      </w:r>
    </w:p>
    <w:bookmarkEnd w:id="9"/>
    <w:bookmarkStart w:id="10" w:name="form-types-item-2"/>
    <w:p>
      <w:pPr>
        <w:pStyle w:val="Heading2"/>
      </w:pPr>
      <w:r>
        <w:t xml:space="preserve">Form Types (Item 2)</w:t>
      </w:r>
    </w:p>
    <w:p>
      <w:pPr>
        <w:pStyle w:val="FirstParagraph"/>
      </w:pPr>
      <w:r>
        <w:t xml:space="preserve">These are all</w:t>
      </w:r>
      <w:r>
        <w:t xml:space="preserve"> </w:t>
      </w:r>
      <w:r>
        <w:rPr>
          <w:b/>
          <w:bCs/>
        </w:rPr>
        <w:t xml:space="preserve">structured government/financial forms</w:t>
      </w:r>
      <w:r>
        <w:t xml:space="preserve"> </w:t>
      </w:r>
      <w:r>
        <w:t xml:space="preserve">- exactly the document category our POC targets. Certificate of residency, overseas tax relief, lost super searches, and private rulings are all form-heavy, field-rich documents similar to the invoices, bank statements, and tax documents we already extract from.</w:t>
      </w:r>
    </w:p>
    <w:bookmarkEnd w:id="10"/>
    <w:bookmarkStart w:id="11" w:name="task-mapping-item-3"/>
    <w:p>
      <w:pPr>
        <w:pStyle w:val="Heading2"/>
      </w:pPr>
      <w:r>
        <w:t xml:space="preserve">Task Mapping (Item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Their Task</w:t>
            </w:r>
          </w:p>
        </w:tc>
        <w:tc>
          <w:tcPr/>
          <w:p>
            <w:pPr>
              <w:pStyle w:val="Compact"/>
            </w:pPr>
            <w:r>
              <w:t xml:space="preserve">Our Capability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Completeness, authorisation &amp; validity</w:t>
            </w:r>
          </w:p>
        </w:tc>
        <w:tc>
          <w:tcPr/>
          <w:p>
            <w:pPr>
              <w:pStyle w:val="Compact"/>
            </w:pPr>
            <w:r>
              <w:t xml:space="preserve">Detection pipeline classifies doc type and can flag missing/unexpected fields against</w:t>
            </w:r>
            <w:r>
              <w:t xml:space="preserve"> </w:t>
            </w:r>
            <w:r>
              <w:rPr>
                <w:rStyle w:val="VerbatimChar"/>
              </w:rPr>
              <w:t xml:space="preserve">field_definitions.yaml</w:t>
            </w:r>
          </w:p>
        </w:tc>
        <w:tc>
          <w:tcPr/>
          <w:p>
            <w:pPr>
              <w:pStyle w:val="Compact"/>
            </w:pPr>
            <w:r>
              <w:t xml:space="preserve">Strong - extend field validation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Summarisation including attachments</w:t>
            </w:r>
          </w:p>
        </w:tc>
        <w:tc>
          <w:tcPr/>
          <w:p>
            <w:pPr>
              <w:pStyle w:val="Compact"/>
            </w:pPr>
            <w:r>
              <w:t xml:space="preserve">InternVL3.5-8B handles multi-page/multi-image input natively; we already do multi-turn for bank statements</w:t>
            </w:r>
          </w:p>
        </w:tc>
        <w:tc>
          <w:tcPr/>
          <w:p>
            <w:pPr>
              <w:pStyle w:val="Compact"/>
            </w:pPr>
            <w:r>
              <w:t xml:space="preserve">Strong - add summarisation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 Data/content extraction to digital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is exactly what our POC does</w:t>
            </w:r>
            <w:r>
              <w:t xml:space="preserve"> </w:t>
            </w:r>
            <w:r>
              <w:t xml:space="preserve">- structured JSON extraction at 94.5% F1</w:t>
            </w:r>
          </w:p>
        </w:tc>
        <w:tc>
          <w:tcPr/>
          <w:p>
            <w:pPr>
              <w:pStyle w:val="Compact"/>
            </w:pPr>
            <w:r>
              <w:t xml:space="preserve">Direct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 Consolidating information from core systems</w:t>
            </w:r>
          </w:p>
        </w:tc>
        <w:tc>
          <w:tcPr/>
          <w:p>
            <w:pPr>
              <w:pStyle w:val="Compact"/>
            </w:pPr>
            <w:r>
              <w:t xml:space="preserve">Outside the model itself, but extracted structured data integrates easily into any UI/API</w:t>
            </w:r>
          </w:p>
        </w:tc>
        <w:tc>
          <w:tcPr/>
          <w:p>
            <w:pPr>
              <w:pStyle w:val="Compact"/>
            </w:pPr>
            <w:r>
              <w:t xml:space="preserve">Architectural task, not model limitation</w:t>
            </w:r>
          </w:p>
        </w:tc>
      </w:tr>
    </w:tbl>
    <w:bookmarkEnd w:id="11"/>
    <w:bookmarkStart w:id="12" w:name="honest-assessment"/>
    <w:p>
      <w:pPr>
        <w:pStyle w:val="Heading2"/>
      </w:pPr>
      <w:r>
        <w:t xml:space="preserve">Honest Assessment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Tasks (b) and (c)</w:t>
      </w:r>
      <w:r>
        <w:t xml:space="preserve"> </w:t>
      </w:r>
      <w:r>
        <w:t xml:space="preserve">are directly supported by our current architecture with minimal adaptation - new prompt YAML files for their specific form types, new field definitions, done.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(a)</w:t>
      </w:r>
      <w:r>
        <w:t xml:space="preserve"> </w:t>
      </w:r>
      <w:r>
        <w:t xml:space="preserve">is achievable by adding a validation layer that checks extracted fields against completeness rules (e.g.,</w:t>
      </w:r>
      <w:r>
        <w:t xml:space="preserve"> </w:t>
      </w:r>
      <w:r>
        <w:t xml:space="preserve">“signature field must not be empty”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(d)</w:t>
      </w:r>
      <w:r>
        <w:t xml:space="preserve"> </w:t>
      </w:r>
      <w:r>
        <w:t xml:space="preserve">is a systems integration concern, not a model concern - but the structured JSON output we produce is designed for exactly this kind of downstream consumption.</w:t>
      </w:r>
    </w:p>
    <w:bookmarkEnd w:id="12"/>
    <w:bookmarkStart w:id="13" w:name="what-wed-need-to-demonstrate"/>
    <w:p>
      <w:pPr>
        <w:pStyle w:val="Heading2"/>
      </w:pPr>
      <w:r>
        <w:t xml:space="preserve">What We’d Need to Demonstrate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prompt templates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for their 4 form types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field definitions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config/field_definitions.yaml</w:t>
      </w:r>
      <w:r>
        <w:t xml:space="preserve"> </w:t>
      </w:r>
      <w:r>
        <w:t xml:space="preserve">for each form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Sample documents</w:t>
      </w:r>
      <w:r>
        <w:t xml:space="preserve"> </w:t>
      </w:r>
      <w:r>
        <w:t xml:space="preserve">from them to calibrate extraction accuracy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summarisation prompt</w:t>
      </w:r>
      <w:r>
        <w:t xml:space="preserve"> </w:t>
      </w:r>
      <w:r>
        <w:t xml:space="preserve">(new capability, but straightforward to add)</w:t>
      </w:r>
    </w:p>
    <w:bookmarkEnd w:id="13"/>
    <w:bookmarkStart w:id="1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Yes, our model and pipeline can handle this. Tasks (b) and (c) are already proven. Tasks (a) and (d) require modest extensions to the pipeline, not the model itself.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2026-02-23T21:59:25Z</dcterms:created>
  <dcterms:modified xsi:type="dcterms:W3CDTF">2026-02-23T21:59:25Z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