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odel-comparison-summary"/>
    <w:p>
      <w:pPr>
        <w:pStyle w:val="Heading1"/>
      </w:pPr>
      <w:r>
        <w:t xml:space="preserve">Model Comparison Summary</w:t>
      </w:r>
    </w:p>
    <w:p>
      <w:pPr>
        <w:pStyle w:val="FirstParagraph"/>
      </w:pPr>
      <w:r>
        <w:rPr>
          <w:b/>
          <w:bCs/>
        </w:rPr>
        <w:t xml:space="preserve">InternVL3.5-8B vs LayoutLM</w:t>
      </w:r>
      <w:r>
        <w:t xml:space="preserve"> </w:t>
      </w:r>
      <w:r>
        <w:t xml:space="preserve">across 15 comparable document fields.</w:t>
      </w:r>
    </w:p>
    <w:bookmarkStart w:id="9" w:name="key-results"/>
    <w:p>
      <w:pPr>
        <w:pStyle w:val="Heading2"/>
      </w:pPr>
      <w:r>
        <w:t xml:space="preserve">Key Results</w:t>
      </w:r>
    </w:p>
    <w:p>
      <w:pPr>
        <w:pStyle w:val="FirstParagraph"/>
      </w:pPr>
      <w:r>
        <w:t xml:space="preserve">InternVL3.5-8B achieves</w:t>
      </w:r>
      <w:r>
        <w:t xml:space="preserve"> </w:t>
      </w:r>
      <w:r>
        <w:rPr>
          <w:b/>
          <w:bCs/>
        </w:rPr>
        <w:t xml:space="preserve">72.5% mean F1</w:t>
      </w:r>
      <w:r>
        <w:t xml:space="preserve"> </w:t>
      </w:r>
      <w:r>
        <w:t xml:space="preserve">compared to LayoutLM’s 54.6%—a</w:t>
      </w:r>
      <w:r>
        <w:t xml:space="preserve"> </w:t>
      </w:r>
      <w:r>
        <w:rPr>
          <w:b/>
          <w:bCs/>
        </w:rPr>
        <w:t xml:space="preserve">+17.9% improvement</w:t>
      </w:r>
      <w:r>
        <w:t xml:space="preserve">. On critical fields (ABN, GST, Total, Supplier), InternVL3.5-8B scores 82.6% vs 51.7%.</w:t>
      </w:r>
    </w:p>
    <w:bookmarkEnd w:id="9"/>
    <w:bookmarkStart w:id="10" w:name="statistical-significance"/>
    <w:p>
      <w:pPr>
        <w:pStyle w:val="Heading2"/>
      </w:pPr>
      <w:r>
        <w:t xml:space="preserve">Statistical Significance</w:t>
      </w:r>
    </w:p>
    <w:p>
      <w:pPr>
        <w:pStyle w:val="FirstParagraph"/>
      </w:pPr>
      <w:r>
        <w:t xml:space="preserve">The improvement is statistically significant (p=0.0105) with a</w:t>
      </w:r>
      <w:r>
        <w:t xml:space="preserve"> </w:t>
      </w:r>
      <w:r>
        <w:rPr>
          <w:b/>
          <w:bCs/>
        </w:rPr>
        <w:t xml:space="preserve">large effect size</w:t>
      </w:r>
      <w:r>
        <w:t xml:space="preserve"> </w:t>
      </w:r>
      <w:r>
        <w:t xml:space="preserve">(Cohen’s d=0.83). The 95% confidence interval (+6% to +29%) excludes zero.</w:t>
      </w:r>
    </w:p>
    <w:bookmarkEnd w:id="10"/>
    <w:bookmarkStart w:id="11" w:name="additional-capabilities"/>
    <w:p>
      <w:pPr>
        <w:pStyle w:val="Heading2"/>
      </w:pPr>
      <w:r>
        <w:t xml:space="preserve">Additional Capabilities</w:t>
      </w:r>
    </w:p>
    <w:p>
      <w:pPr>
        <w:pStyle w:val="FirstParagraph"/>
      </w:pPr>
      <w:r>
        <w:t xml:space="preserve">InternVL3.5-8B exclusively supports DOCUMENT_TYPE (72.8%) and STATEMENT_DATE_RANGE (92.8%)—fields unavailable in LayoutLM—with 82.8% mean accuracy.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2025-12-17T01:03:01Z</dcterms:created>
  <dcterms:modified xsi:type="dcterms:W3CDTF">2025-12-17T01:03:01Z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