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94f1a0d80f4c82993833c0840e373aa777453a0"/>
    <w:p>
      <w:pPr>
        <w:pStyle w:val="Heading1"/>
      </w:pPr>
      <w:r>
        <w:t xml:space="preserve">Gemma 4 12B W4A16: evaluation report for a production approval decision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2026-08-15</w:t>
      </w:r>
      <w:r>
        <w:t xml:space="preserve"> </w:t>
      </w:r>
      <w:r>
        <w:rPr>
          <w:b/>
          <w:bCs/>
        </w:rPr>
        <w:t xml:space="preserve">Incumbent:</w:t>
      </w:r>
      <w:r>
        <w:t xml:space="preserve"> </w:t>
      </w:r>
      <w:r>
        <w:t xml:space="preserve">InternVL3.5-8B (BF16, vLLM 0.19.0) — currently in production</w:t>
      </w:r>
      <w:r>
        <w:t xml:space="preserve"> </w:t>
      </w:r>
      <w:r>
        <w:rPr>
          <w:b/>
          <w:bCs/>
        </w:rPr>
        <w:t xml:space="preserve">Candidate:</w:t>
      </w:r>
      <w:r>
        <w:t xml:space="preserve"> </w:t>
      </w:r>
      <w:r>
        <w:t xml:space="preserve">Gemma 4 12B Unified QAT W4A16 (vLLM 0.25.1)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should the candidate be approved to run on the production environment?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Two benchmarks were run.</w:t>
      </w:r>
      <w:r>
        <w:t xml:space="preserve"> </w:t>
      </w:r>
      <w:r>
        <w:rPr>
          <w:b/>
          <w:bCs/>
        </w:rPr>
        <w:t xml:space="preserve">They disagree, and the disagreement is the most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 thing in this report.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ICDAR SROIE 2019 (347 scanned receipts, 4 fields)</w:t>
            </w:r>
          </w:p>
        </w:tc>
        <w:tc>
          <w:tcPr/>
          <w:p>
            <w:pPr>
              <w:pStyle w:val="Compact"/>
            </w:pPr>
            <w:r>
              <w:t xml:space="preserve">external, published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InternVL3.5</w:t>
            </w:r>
          </w:p>
        </w:tc>
        <w:tc>
          <w:tcPr/>
          <w:p>
            <w:pPr>
              <w:pStyle w:val="Compact"/>
            </w:pPr>
            <w:r>
              <w:t xml:space="preserve">5.9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corpus (165 documents, 14 fields)</w:t>
            </w:r>
          </w:p>
        </w:tc>
        <w:tc>
          <w:tcPr/>
          <w:p>
            <w:pPr>
              <w:pStyle w:val="Compact"/>
            </w:pPr>
            <w:r>
              <w:t xml:space="preserve">generated with the images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9.7 pts</w:t>
            </w:r>
          </w:p>
        </w:tc>
      </w:tr>
    </w:tbl>
    <w:p>
      <w:pPr>
        <w:pStyle w:val="BodyText"/>
      </w:pPr>
      <w:r>
        <w:t xml:space="preserve">The recommendation rests on the second, plus a measured 1.63× throughput</w:t>
      </w:r>
      <w:r>
        <w:t xml:space="preserve"> </w:t>
      </w:r>
      <w:r>
        <w:t xml:space="preserve">advantage at equal hardware. But the first is stated first, and in full, because</w:t>
      </w:r>
      <w:r>
        <w:t xml:space="preserve"> </w:t>
      </w:r>
      <w:r>
        <w:t xml:space="preserve">it is the more credible instrument — we did not write its answer key.</w:t>
      </w:r>
    </w:p>
    <w:p>
      <w:r>
        <w:pict>
          <v:rect style="width:0;height:1.5pt" o:hralign="center" o:hrstd="t" o:hr="t"/>
        </w:pict>
      </w:r>
    </w:p>
    <w:bookmarkEnd w:id="9"/>
    <w:bookmarkStart w:id="10" w:name="Xdd6900c7741cdcd7287e2fab134ae626f842f09"/>
    <w:p>
      <w:pPr>
        <w:pStyle w:val="Heading2"/>
      </w:pPr>
      <w:r>
        <w:t xml:space="preserve">1. What was measured, and how the comparison was controlled</w:t>
      </w:r>
    </w:p>
    <w:p>
      <w:pPr>
        <w:pStyle w:val="FirstParagraph"/>
      </w:pPr>
      <w:r>
        <w:t xml:space="preserve">Both models ran the</w:t>
      </w:r>
      <w:r>
        <w:t xml:space="preserve"> </w:t>
      </w:r>
      <w:r>
        <w:rPr>
          <w:b/>
          <w:bCs/>
        </w:rPr>
        <w:t xml:space="preserve">same prompt, parser, scorer, dataset split and batching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</w:t>
      </w:r>
      <w:r>
        <w:t xml:space="preserve">. On the SROIE benchmark the only difference between the two runs</w:t>
      </w:r>
      <w:r>
        <w:t xml:space="preserve"> </w:t>
      </w:r>
      <w:r>
        <w:t xml:space="preserve">was one line of configuration —</w:t>
      </w:r>
      <w:r>
        <w:t xml:space="preserve"> </w:t>
      </w:r>
      <w:r>
        <w:rPr>
          <w:rStyle w:val="VerbatimChar"/>
        </w:rPr>
        <w:t xml:space="preserve">bootstrap.model.type</w:t>
      </w:r>
      <w:r>
        <w:t xml:space="preserve">. On the production corpus</w:t>
      </w:r>
      <w:r>
        <w:t xml:space="preserve"> </w:t>
      </w:r>
      <w:r>
        <w:t xml:space="preserve">the receipt prompt is shared repo-wide, so neither model has a prompt tuned to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This matters because most apparent model differences in this project turned out</w:t>
      </w:r>
      <w:r>
        <w:t xml:space="preserve"> </w:t>
      </w:r>
      <w:r>
        <w:t xml:space="preserve">to be measurement defects, not capability. Five separate scoring bugs were found</w:t>
      </w:r>
      <w:r>
        <w:t xml:space="preserve"> </w:t>
      </w:r>
      <w:r>
        <w:t xml:space="preserve">and fixed during this work; each was scoring a correct extraction as wrong. Full</w:t>
      </w:r>
      <w:r>
        <w:t xml:space="preserve"> </w:t>
      </w:r>
      <w:r>
        <w:t xml:space="preserve">detail in §7.</w:t>
      </w:r>
    </w:p>
    <w:p>
      <w:r>
        <w:pict>
          <v:rect style="width:0;height:1.5pt" o:hralign="center" o:hrstd="t" o:hr="t"/>
        </w:pict>
      </w:r>
    </w:p>
    <w:bookmarkEnd w:id="10"/>
    <w:bookmarkStart w:id="11" w:name="Xfc0afc998739d864274c58bd0e66de801bdad3f"/>
    <w:p>
      <w:pPr>
        <w:pStyle w:val="Heading2"/>
      </w:pPr>
      <w:r>
        <w:t xml:space="preserve">2. Result A — public benchmark: InternVL3.5 wins</w:t>
      </w:r>
    </w:p>
    <w:p>
      <w:pPr>
        <w:pStyle w:val="FirstParagraph"/>
      </w:pPr>
      <w:r>
        <w:t xml:space="preserve">ICDAR 2019 SROIE Task 3, 347-image test split. Scanned Malaysian retail</w:t>
      </w:r>
      <w:r>
        <w:t xml:space="preserve"> </w:t>
      </w:r>
      <w:r>
        <w:t xml:space="preserve">receipts. Four fields. Scored under the official exact-match protocol</w:t>
      </w:r>
      <w:r>
        <w:t xml:space="preserve"> </w:t>
      </w:r>
      <w:r>
        <w:t xml:space="preserve">(</w:t>
      </w:r>
      <w:r>
        <w:rPr>
          <w:b/>
          <w:bCs/>
        </w:rPr>
        <w:t xml:space="preserve">strict</w:t>
      </w:r>
      <w:r>
        <w:t xml:space="preserve">) and a semantic policy (</w:t>
      </w:r>
      <w:r>
        <w:rPr>
          <w:b/>
          <w:bCs/>
        </w:rPr>
        <w:t xml:space="preserve">lenient</w:t>
      </w:r>
      <w:r>
        <w:t xml:space="preserve">).</w:t>
      </w:r>
    </w:p>
    <w:p>
      <w:pPr>
        <w:pStyle w:val="BodyText"/>
      </w:pPr>
      <w:r>
        <w:t xml:space="preserve">Both models were measured on the</w:t>
      </w:r>
      <w:r>
        <w:t xml:space="preserve"> </w:t>
      </w:r>
      <w:r>
        <w:rPr>
          <w:b/>
          <w:bCs/>
        </w:rPr>
        <w:t xml:space="preserve">same sandbox hardware, 2 GPUs, data-parallel</w:t>
      </w:r>
      <w:r>
        <w:t xml:space="preserve">,</w:t>
      </w:r>
      <w:r>
        <w:t xml:space="preserve"> </w:t>
      </w:r>
      <w:r>
        <w:t xml:space="preserve">so this is a like-for-like comparison. Every figure below is read directly from</w:t>
      </w:r>
      <w:r>
        <w:t xml:space="preserve"> </w:t>
      </w:r>
      <w:r>
        <w:t xml:space="preserve">the run artefacts, each of which records its own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total_images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internvl3-vllm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output_sroie_internvl3/sroie_summary.json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gemma4-12b-unified-w4a16-vllm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output_sroie_gemma4/sroie_summary.json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p>
      <w:pPr>
        <w:pStyle w:val="BodyText"/>
      </w:pPr>
      <w:r>
        <w:t xml:space="preserve">Each is accompanied by a</w:t>
      </w:r>
      <w:r>
        <w:t xml:space="preserve"> </w:t>
      </w:r>
      <w:r>
        <w:rPr>
          <w:rStyle w:val="VerbatimChar"/>
        </w:rPr>
        <w:t xml:space="preserve">sroie_per_image.csv</w:t>
      </w:r>
      <w:r>
        <w:t xml:space="preserve"> </w:t>
      </w:r>
      <w:r>
        <w:t xml:space="preserve">of 347 rows, so any figure here</w:t>
      </w:r>
      <w:r>
        <w:t xml:space="preserve"> </w:t>
      </w:r>
      <w:r>
        <w:t xml:space="preserve">can be traced to the individual receipts behind 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Gemma 4 12B W4A16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strict 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0.7889</w:t>
            </w:r>
          </w:p>
        </w:tc>
        <w:tc>
          <w:tcPr/>
          <w:p>
            <w:pPr>
              <w:pStyle w:val="Compact"/>
            </w:pPr>
            <w:r>
              <w:t xml:space="preserve">0.7319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lenient 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0.8892</w:t>
            </w:r>
          </w:p>
        </w:tc>
        <w:tc>
          <w:tcPr/>
          <w:p>
            <w:pPr>
              <w:pStyle w:val="Compact"/>
            </w:pPr>
            <w:r>
              <w:t xml:space="preserve">0.8299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</w:tbl>
    <w:p>
      <w:pPr>
        <w:pStyle w:val="BodyText"/>
      </w:pPr>
      <w:r>
        <w:t xml:space="preserve">Per field: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InternVL3.5 strict</w:t>
            </w:r>
          </w:p>
        </w:tc>
        <w:tc>
          <w:tcPr/>
          <w:p>
            <w:pPr>
              <w:pStyle w:val="Compact"/>
            </w:pPr>
            <w:r>
              <w:t xml:space="preserve">Gemma 4 strict</w:t>
            </w:r>
          </w:p>
        </w:tc>
        <w:tc>
          <w:tcPr/>
          <w:p>
            <w:pPr>
              <w:pStyle w:val="Compact"/>
            </w:pPr>
            <w:r>
              <w:t xml:space="preserve">InternVL3.5 lenient</w:t>
            </w:r>
          </w:p>
        </w:tc>
        <w:tc>
          <w:tcPr/>
          <w:p>
            <w:pPr>
              <w:pStyle w:val="Compact"/>
            </w:pPr>
            <w:r>
              <w:t xml:space="preserve">Gemma 4 lenient</w:t>
            </w:r>
          </w:p>
        </w:tc>
        <w:tc>
          <w:tcPr/>
          <w:p>
            <w:pPr>
              <w:pStyle w:val="Compact"/>
            </w:pPr>
            <w:r>
              <w:t xml:space="preserve">favours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0.8559</w:t>
            </w:r>
          </w:p>
        </w:tc>
        <w:tc>
          <w:tcPr/>
          <w:p>
            <w:pPr>
              <w:pStyle w:val="Compact"/>
            </w:pPr>
            <w:r>
              <w:t xml:space="preserve">0.8242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0.8934</w:t>
            </w:r>
          </w:p>
        </w:tc>
        <w:tc>
          <w:tcPr/>
          <w:p>
            <w:pPr>
              <w:pStyle w:val="Compact"/>
            </w:pPr>
            <w:r>
              <w:t xml:space="preserve">0.8386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0.9308</w:t>
            </w:r>
          </w:p>
        </w:tc>
        <w:tc>
          <w:tcPr/>
          <w:p>
            <w:pPr>
              <w:pStyle w:val="Compact"/>
            </w:pPr>
            <w:r>
              <w:t xml:space="preserve">0.8444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0.9337</w:t>
            </w:r>
          </w:p>
        </w:tc>
        <w:tc>
          <w:tcPr/>
          <w:p>
            <w:pPr>
              <w:pStyle w:val="Compact"/>
            </w:pPr>
            <w:r>
              <w:t xml:space="preserve">0.8501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0.5879</w:t>
            </w:r>
          </w:p>
        </w:tc>
        <w:tc>
          <w:tcPr/>
          <w:p>
            <w:pPr>
              <w:pStyle w:val="Compact"/>
            </w:pPr>
            <w:r>
              <w:t xml:space="preserve">0.4611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0.7637</w:t>
            </w:r>
          </w:p>
        </w:tc>
        <w:tc>
          <w:tcPr/>
          <w:p>
            <w:pPr>
              <w:pStyle w:val="Compact"/>
            </w:pPr>
            <w:r>
              <w:t xml:space="preserve">0.6542</w:t>
            </w:r>
          </w:p>
        </w:tc>
        <w:tc>
          <w:tcPr/>
          <w:p>
            <w:pPr>
              <w:pStyle w:val="Compact"/>
            </w:pPr>
            <w:r>
              <w:t xml:space="preserve">InternVL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0.7781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0.7896</w:t>
            </w:r>
          </w:p>
        </w:tc>
        <w:tc>
          <w:tcPr/>
          <w:p>
            <w:pPr>
              <w:pStyle w:val="Compact"/>
            </w:pPr>
            <w:r>
              <w:t xml:space="preserve">0.9625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</w:t>
            </w:r>
          </w:p>
        </w:tc>
      </w:tr>
    </w:tbl>
    <w:p>
      <w:pPr>
        <w:pStyle w:val="BodyText"/>
      </w:pPr>
      <w:r>
        <w:t xml:space="preserve">The incumbent's result was independently reproduced on the production environment at</w:t>
      </w:r>
      <w:r>
        <w:t xml:space="preserve"> </w:t>
      </w:r>
      <w:r>
        <w:t xml:space="preserve">strict 0.7882 / lenient 0.8885 — a difference of one field-document in 1,388</w:t>
      </w:r>
      <w:r>
        <w:t xml:space="preserve"> </w:t>
      </w:r>
      <w:r>
        <w:t xml:space="preserve">(§6). The candidate could not be run there; see §8.</w:t>
      </w:r>
    </w:p>
    <w:p>
      <w:pPr>
        <w:pStyle w:val="BodyText"/>
      </w:pPr>
      <w:r>
        <w:t xml:space="preserve">Two qualifications, both of which cut against over-reading this result: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</w:t>
      </w:r>
      <w:r>
        <w:rPr>
          <w:b/>
          <w:bCs/>
        </w:rPr>
        <w:t xml:space="preserve"> </w:t>
      </w:r>
      <w:r>
        <w:rPr>
          <w:b/>
          <w:bCs/>
        </w:rPr>
        <w:t xml:space="preserve">separates on non-overlapping confidence intervals.</w:t>
      </w:r>
      <w:r>
        <w:t xml:space="preserve"> </w:t>
      </w:r>
      <w:r>
        <w:t xml:space="preserve">The overall</w:t>
      </w:r>
      <w:r>
        <w:t xml:space="preserve"> </w:t>
      </w:r>
      <w:r>
        <w:t xml:space="preserve">gap is credible because it is consistent in direction across three of four</w:t>
      </w:r>
      <w:r>
        <w:t xml:space="preserve"> </w:t>
      </w:r>
      <w:r>
        <w:t xml:space="preserve">fields, not because any single field is individually significant.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Gemma 4 wins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total</w:t>
      </w:r>
      <w:r>
        <w:t xml:space="preserve"> </w:t>
      </w:r>
      <w:r>
        <w:t xml:space="preserve">— the monetary field, and the one closest to what our</w:t>
      </w:r>
      <w:r>
        <w:t xml:space="preserve"> </w:t>
      </w:r>
      <w:r>
        <w:t xml:space="preserve">production task actually needs.</w:t>
      </w:r>
    </w:p>
    <w:p>
      <w:pPr>
        <w:pStyle w:val="FirstParagraph"/>
      </w:pPr>
      <w:r>
        <w:t xml:space="preserve">InternVL3.5 also has a working resolution lever here and Gemma 4 does not: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min_tiles</w:t>
      </w:r>
      <w:r>
        <w:t xml:space="preserve"> </w:t>
      </w:r>
      <w:r>
        <w:t xml:space="preserve">from 1 to 6 bought +0.060 on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for 22% throughput.</w:t>
      </w:r>
      <w:r>
        <w:t xml:space="preserve"> </w:t>
      </w:r>
      <w:r>
        <w:t xml:space="preserve">Gemma 4's equivalent knob is exhausted at its current setting — doubling it</w:t>
      </w:r>
      <w:r>
        <w:t xml:space="preserve"> </w:t>
      </w:r>
      <w:r>
        <w:t xml:space="preserve">collapsed the model (on a 24-image subset, overall 0.8365 → 0.2752,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to</w:t>
      </w:r>
      <w:r>
        <w:t xml:space="preserve"> </w:t>
      </w:r>
      <w:r>
        <w:t xml:space="preserve">0.0000), reproduced on two independent corpora.</w:t>
      </w:r>
    </w:p>
    <w:p>
      <w:pPr>
        <w:pStyle w:val="BodyText"/>
      </w:pPr>
      <w:r>
        <w:rPr>
          <w:b/>
          <w:bCs/>
        </w:rPr>
        <w:t xml:space="preserve">Read plainly: on unfamiliar scanned receipts, the incumbent is the better</w:t>
      </w:r>
      <w:r>
        <w:rPr>
          <w:b/>
          <w:bCs/>
        </w:rPr>
        <w:t xml:space="preserve"> </w:t>
      </w:r>
      <w:r>
        <w:rPr>
          <w:b/>
          <w:bCs/>
        </w:rPr>
        <w:t xml:space="preserve">reader, and it has headroom the candidate lacks.</w:t>
      </w:r>
    </w:p>
    <w:p>
      <w:r>
        <w:pict>
          <v:rect style="width:0;height:1.5pt" o:hralign="center" o:hrstd="t" o:hr="t"/>
        </w:pict>
      </w:r>
    </w:p>
    <w:bookmarkEnd w:id="11"/>
    <w:bookmarkStart w:id="13" w:name="X10f63aa9a3a33c2fe41a0965fc326ec1c0c0317"/>
    <w:p>
      <w:pPr>
        <w:pStyle w:val="Heading2"/>
      </w:pPr>
      <w:r>
        <w:t xml:space="preserve">3. Result B — production corpus: Gemma 4 wins every field</w:t>
      </w:r>
    </w:p>
    <w:p>
      <w:pPr>
        <w:pStyle w:val="FirstParagraph"/>
      </w:pPr>
      <w:r>
        <w:t xml:space="preserve">165 synthetic business documents (bank statements, invoices, receipts), 14-field</w:t>
      </w:r>
      <w:r>
        <w:t xml:space="preserve"> </w:t>
      </w:r>
      <w:r>
        <w:t xml:space="preserve">schema, answer key generated by the same pass that renders the images.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clean (mixed types)</w:t>
            </w:r>
          </w:p>
        </w:tc>
        <w:tc>
          <w:tcPr/>
          <w:p>
            <w:pPr>
              <w:pStyle w:val="Compact"/>
            </w:pPr>
            <w:r>
              <w:t xml:space="preserve">degraded (receipts)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12B W4A16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t xml:space="preserve">0.871</w:t>
            </w:r>
          </w:p>
        </w:tc>
      </w:tr>
    </w:tbl>
    <w:p>
      <w:pPr>
        <w:pStyle w:val="BodyText"/>
      </w:pPr>
      <w:r>
        <w:t xml:space="preserve">Per field on the degraded set — identical documents, identical answer key,</w:t>
      </w:r>
      <w:r>
        <w:t xml:space="preserve"> </w:t>
      </w:r>
      <w:r>
        <w:t xml:space="preserve">identical scorer: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  <w:tc>
          <w:tcPr/>
          <w:p>
            <w:pPr>
              <w:pStyle w:val="Compact"/>
            </w:pPr>
            <w:r>
              <w:t xml:space="preserve">InternVL3.5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LINE_ITEM_PRICES</w:t>
            </w:r>
          </w:p>
        </w:tc>
        <w:tc>
          <w:tcPr/>
          <w:p>
            <w:pPr>
              <w:pStyle w:val="Compact"/>
            </w:pPr>
            <w:r>
              <w:t xml:space="preserve">0.5865</w:t>
            </w:r>
          </w:p>
        </w:tc>
        <w:tc>
          <w:tcPr/>
          <w:p>
            <w:pPr>
              <w:pStyle w:val="Compact"/>
            </w:pPr>
            <w:r>
              <w:t xml:space="preserve">0.2762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LINE_ITEM_TOTAL_PRICES</w:t>
            </w:r>
          </w:p>
        </w:tc>
        <w:tc>
          <w:tcPr/>
          <w:p>
            <w:pPr>
              <w:pStyle w:val="Compact"/>
            </w:pPr>
            <w:r>
              <w:t xml:space="preserve">0.8348</w:t>
            </w:r>
          </w:p>
        </w:tc>
        <w:tc>
          <w:tcPr/>
          <w:p>
            <w:pPr>
              <w:pStyle w:val="Compact"/>
            </w:pPr>
            <w:r>
              <w:t xml:space="preserve">0.7877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IS_GST_INCLUDED</w:t>
            </w:r>
          </w:p>
        </w:tc>
        <w:tc>
          <w:tcPr/>
          <w:p>
            <w:pPr>
              <w:pStyle w:val="Compact"/>
            </w:pPr>
            <w:r>
              <w:t xml:space="preserve">0.8485</w:t>
            </w:r>
          </w:p>
        </w:tc>
        <w:tc>
          <w:tcPr/>
          <w:p>
            <w:pPr>
              <w:pStyle w:val="Compact"/>
            </w:pPr>
            <w:r>
              <w:t xml:space="preserve">0.7455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GST_AMOUNT</w:t>
            </w:r>
          </w:p>
        </w:tc>
        <w:tc>
          <w:tcPr/>
          <w:p>
            <w:pPr>
              <w:pStyle w:val="Compact"/>
            </w:pPr>
            <w:r>
              <w:t xml:space="preserve">0.8727</w:t>
            </w:r>
          </w:p>
        </w:tc>
        <w:tc>
          <w:tcPr/>
          <w:p>
            <w:pPr>
              <w:pStyle w:val="Compact"/>
            </w:pPr>
            <w:r>
              <w:t xml:space="preserve">0.8606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BUSINESS_ABN</w:t>
            </w:r>
          </w:p>
        </w:tc>
        <w:tc>
          <w:tcPr/>
          <w:p>
            <w:pPr>
              <w:pStyle w:val="Compact"/>
            </w:pPr>
            <w:r>
              <w:t xml:space="preserve">0.9273</w:t>
            </w:r>
          </w:p>
        </w:tc>
        <w:tc>
          <w:tcPr/>
          <w:p>
            <w:pPr>
              <w:pStyle w:val="Compact"/>
            </w:pPr>
            <w:r>
              <w:t xml:space="preserve">0.8485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LINE_ITEM_DESCRIPTIONS</w:t>
            </w:r>
          </w:p>
        </w:tc>
        <w:tc>
          <w:tcPr/>
          <w:p>
            <w:pPr>
              <w:pStyle w:val="Compact"/>
            </w:pPr>
            <w:r>
              <w:t xml:space="preserve">0.9993</w:t>
            </w:r>
          </w:p>
        </w:tc>
        <w:tc>
          <w:tcPr/>
          <w:p>
            <w:pPr>
              <w:pStyle w:val="Compact"/>
            </w:pPr>
            <w:r>
              <w:t xml:space="preserve">0.8898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PAYER_NAME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BUSINESS_ADDRESS</w:t>
            </w:r>
          </w:p>
        </w:tc>
        <w:tc>
          <w:tcPr/>
          <w:p>
            <w:pPr>
              <w:pStyle w:val="Compact"/>
            </w:pPr>
            <w:r>
              <w:t xml:space="preserve">0.9663</w:t>
            </w:r>
          </w:p>
        </w:tc>
        <w:tc>
          <w:tcPr/>
          <w:p>
            <w:pPr>
              <w:pStyle w:val="Compact"/>
            </w:pPr>
            <w:r>
              <w:t xml:space="preserve">0.9493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LINE_ITEM_QUANTITIES</w:t>
            </w:r>
          </w:p>
        </w:tc>
        <w:tc>
          <w:tcPr/>
          <w:p>
            <w:pPr>
              <w:pStyle w:val="Compact"/>
            </w:pPr>
            <w:r>
              <w:t xml:space="preserve">0.9927</w:t>
            </w:r>
          </w:p>
        </w:tc>
        <w:tc>
          <w:tcPr/>
          <w:p>
            <w:pPr>
              <w:pStyle w:val="Compact"/>
            </w:pPr>
            <w:r>
              <w:t xml:space="preserve">0.9521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INVOICE_DATE</w:t>
            </w:r>
          </w:p>
        </w:tc>
        <w:tc>
          <w:tcPr/>
          <w:p>
            <w:pPr>
              <w:pStyle w:val="Compact"/>
            </w:pPr>
            <w:r>
              <w:t xml:space="preserve">0.9939</w:t>
            </w:r>
          </w:p>
        </w:tc>
        <w:tc>
          <w:tcPr/>
          <w:p>
            <w:pPr>
              <w:pStyle w:val="Compact"/>
            </w:pPr>
            <w:r>
              <w:t xml:space="preserve">0.9758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0.9989</w:t>
            </w:r>
          </w:p>
        </w:tc>
        <w:tc>
          <w:tcPr/>
          <w:p>
            <w:pPr>
              <w:pStyle w:val="Compact"/>
            </w:pPr>
            <w:r>
              <w:t xml:space="preserve">0.9916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0.9939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DOCUMENT_TYPE, PAYER_ADDRESS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Gemma 4 wins or ties all fourteen.</w:t>
      </w:r>
      <w:r>
        <w:t xml:space="preserve"> </w:t>
      </w:r>
      <w:r>
        <w:t xml:space="preserve">Two honest deductions from that: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IS_GST_INCLUDED</w:t>
      </w:r>
      <w:r>
        <w:rPr>
          <w:b/>
          <w:bCs/>
        </w:rPr>
        <w:t xml:space="preserve"> </w:t>
      </w:r>
      <w:r>
        <w:rPr>
          <w:b/>
          <w:bCs/>
        </w:rPr>
        <w:t xml:space="preserve">measures nothing.</w:t>
      </w:r>
      <w:r>
        <w:t xml:space="preserve"> </w:t>
      </w:r>
      <w:r>
        <w:t xml:space="preserve">In this corpus it is fully determined</w:t>
      </w:r>
      <w:r>
        <w:t xml:space="preserve"> </w:t>
      </w:r>
      <w:r>
        <w:t xml:space="preserve">by document type — every invoice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every receipt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On the</w:t>
      </w:r>
      <w:r>
        <w:t xml:space="preserve"> </w:t>
      </w:r>
      <w:r>
        <w:t xml:space="preserve">receipts-only degraded set it is the constant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all 165 documents, so</w:t>
      </w:r>
      <w:r>
        <w:t xml:space="preserve"> </w:t>
      </w:r>
      <w:r>
        <w:t xml:space="preserve">a model scores it by answering the same way every time. It is worth 1/14 of</w:t>
      </w:r>
      <w:r>
        <w:t xml:space="preserve"> </w:t>
      </w:r>
      <w:r>
        <w:t xml:space="preserve">the headline. Discount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LINE_ITEM_PRICES</w:t>
      </w:r>
      <w:r>
        <w:rPr>
          <w:b/>
          <w:bCs/>
        </w:rPr>
        <w:t xml:space="preserve">, the largest gap, is instruction-following, not reading.</w:t>
      </w:r>
      <w:r>
        <w:t xml:space="preserve"> </w:t>
      </w:r>
      <w:r>
        <w:t xml:space="preserve">The prompt asks for a unit price only where a line's quantity is 1. Gemma 4</w:t>
      </w:r>
      <w:r>
        <w:t xml:space="preserve"> </w:t>
      </w:r>
      <w:r>
        <w:t xml:space="preserve">applies that condition per line; InternVL3.5 writes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at every</w:t>
      </w:r>
      <w:r>
        <w:t xml:space="preserve"> </w:t>
      </w:r>
      <w:r>
        <w:t xml:space="preserve">position on all 55 receipts, and its score is flat across all degradation</w:t>
      </w:r>
      <w:r>
        <w:t xml:space="preserve"> </w:t>
      </w:r>
      <w:r>
        <w:t xml:space="preserve">tiers precisely because its answer never varies. This is a real and</w:t>
      </w:r>
      <w:r>
        <w:t xml:space="preserve"> </w:t>
      </w:r>
      <w:r>
        <w:t xml:space="preserve">operationally relevant difference, but it is about following a compound</w:t>
      </w:r>
      <w:r>
        <w:t xml:space="preserve"> </w:t>
      </w:r>
      <w:r>
        <w:t xml:space="preserve">instruction, not about resolving pixels.</w:t>
      </w:r>
    </w:p>
    <w:p>
      <w:pPr>
        <w:pStyle w:val="FirstParagraph"/>
      </w:pPr>
      <w:r>
        <w:t xml:space="preserve">Excluding both, Gemma 4 still leads on every remaining field.</w:t>
      </w:r>
    </w:p>
    <w:bookmarkStart w:id="12" w:name="robustness-under-image-degradation"/>
    <w:p>
      <w:pPr>
        <w:pStyle w:val="Heading3"/>
      </w:pPr>
      <w:r>
        <w:t xml:space="preserve">Robustness under image degradation</w:t>
      </w:r>
    </w:p>
    <w:p>
      <w:pPr>
        <w:pStyle w:val="FirstParagraph"/>
      </w:pPr>
      <w:r>
        <w:t xml:space="preserve">55 receipts × 4 quality tiers — the same 55 base documents at each tier, verified</w:t>
      </w:r>
      <w:r>
        <w:t xml:space="preserve"> </w:t>
      </w:r>
      <w:r>
        <w:t xml:space="preserve">by filename, so this is a within-document measurement.</w:t>
      </w:r>
      <w:r>
        <w:t xml:space="preserve"> </w:t>
      </w:r>
      <w:r>
        <w:rPr>
          <w:b/>
          <w:bCs/>
        </w:rPr>
        <w:t xml:space="preserve">The tiers are simulated</w:t>
      </w:r>
      <w:r>
        <w:rPr>
          <w:b/>
          <w:bCs/>
        </w:rPr>
        <w:t xml:space="preserve"> </w:t>
      </w:r>
      <w:r>
        <w:rPr>
          <w:b/>
          <w:bCs/>
        </w:rPr>
        <w:t xml:space="preserve">degradation applied to a clean render, not photographs</w:t>
      </w:r>
      <w:r>
        <w:t xml:space="preserve">; see §4 for why that</w:t>
      </w:r>
      <w:r>
        <w:t xml:space="preserve"> </w:t>
      </w:r>
      <w:r>
        <w:t xml:space="preserve">limits what the result establishes.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InternVL3.5</w:t>
            </w:r>
          </w:p>
        </w:tc>
        <w:tc>
          <w:tcPr/>
          <w:p>
            <w:pPr>
              <w:pStyle w:val="Compact"/>
            </w:pPr>
            <w:r>
              <w:t xml:space="preserve">Gemma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0.884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</w:t>
            </w:r>
          </w:p>
        </w:tc>
        <w:tc>
          <w:tcPr/>
          <w:p>
            <w:pPr>
              <w:pStyle w:val="Compact"/>
            </w:pPr>
            <w:r>
              <w:t xml:space="preserve">0.814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0.874</w:t>
            </w:r>
          </w:p>
        </w:tc>
      </w:tr>
    </w:tbl>
    <w:p>
      <w:pPr>
        <w:pStyle w:val="BodyText"/>
      </w:pPr>
      <w:r>
        <w:rPr>
          <w:b/>
          <w:bCs/>
        </w:rPr>
        <w:t xml:space="preserve">Neither model is more robust than the other.</w:t>
      </w:r>
      <w:r>
        <w:t xml:space="preserve"> </w:t>
      </w:r>
      <w:r>
        <w:t xml:space="preserve">Both retain ~89% of clean</w:t>
      </w:r>
      <w:r>
        <w:t xml:space="preserve"> </w:t>
      </w:r>
      <w:r>
        <w:t xml:space="preserve">accuracy at the heaviest tier (InternVL 0.892, Gemma 0.896) and the gap is flat</w:t>
      </w:r>
      <w:r>
        <w:t xml:space="preserve"> </w:t>
      </w:r>
      <w:r>
        <w:t xml:space="preserve">at ~0.06 across all four tiers. Degradation is not a differentiator; Gemma 4 is</w:t>
      </w:r>
      <w:r>
        <w:t xml:space="preserve"> </w:t>
      </w:r>
      <w:r>
        <w:t xml:space="preserve">simply better at every quality level. Classification was unaffected for both —</w:t>
      </w:r>
      <w:r>
        <w:t xml:space="preserve"> </w:t>
      </w:r>
      <w:r>
        <w:t xml:space="preserve">165/165 receipts correctly typed at every tier.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a9bf50b13bb7a632e67c674bcc41660dfc80735"/>
    <w:p>
      <w:pPr>
        <w:pStyle w:val="Heading2"/>
      </w:pPr>
      <w:r>
        <w:t xml:space="preserve">4. Why the two benchmarks disagree</w:t>
      </w:r>
    </w:p>
    <w:p>
      <w:pPr>
        <w:pStyle w:val="FirstParagraph"/>
      </w:pPr>
      <w:r>
        <w:t xml:space="preserve">They are different tasks, and they differ on two axes at once — what the images</w:t>
      </w:r>
      <w:r>
        <w:t xml:space="preserve"> </w:t>
      </w:r>
      <w:r>
        <w:t xml:space="preserve">are, and what the schema asks for.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SROIE</w:t>
            </w:r>
          </w:p>
        </w:tc>
        <w:tc>
          <w:tcPr/>
          <w:p>
            <w:pPr>
              <w:pStyle w:val="Compact"/>
            </w:pPr>
            <w:r>
              <w:t xml:space="preserve">production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Malaysian retail receipts</w:t>
            </w:r>
          </w:p>
        </w:tc>
        <w:tc>
          <w:tcPr/>
          <w:p>
            <w:pPr>
              <w:pStyle w:val="Compact"/>
            </w:pPr>
            <w:r>
              <w:t xml:space="preserve">Australian business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genuinely photographed and scanned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rendered from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degradation</w:t>
            </w:r>
          </w:p>
        </w:tc>
        <w:tc>
          <w:tcPr/>
          <w:p>
            <w:pPr>
              <w:pStyle w:val="Compact"/>
            </w:pPr>
            <w:r>
              <w:t xml:space="preserve">real, and uncontrolled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simulated</w:t>
            </w:r>
            <w:r>
              <w:t xml:space="preserve"> </w:t>
            </w:r>
            <w:r>
              <w:t xml:space="preserve">— transforms applied to a clean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4 fields, all scalar</w:t>
            </w:r>
          </w:p>
        </w:tc>
        <w:tc>
          <w:tcPr/>
          <w:p>
            <w:pPr>
              <w:pStyle w:val="Compact"/>
            </w:pPr>
            <w:r>
              <w:t xml:space="preserve">14 fields, 4 of them multi-row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rewards</w:t>
            </w:r>
          </w:p>
        </w:tc>
        <w:tc>
          <w:tcPr/>
          <w:p>
            <w:pPr>
              <w:pStyle w:val="Compact"/>
            </w:pPr>
            <w:r>
              <w:t xml:space="preserve">optical robustness on unfamiliar layouts</w:t>
            </w:r>
          </w:p>
        </w:tc>
        <w:tc>
          <w:tcPr/>
          <w:p>
            <w:pPr>
              <w:pStyle w:val="Compact"/>
            </w:pPr>
            <w:r>
              <w:t xml:space="preserve">schema compliance across long line-item tables</w:t>
            </w:r>
          </w:p>
        </w:tc>
      </w:tr>
    </w:tbl>
    <w:bookmarkStart w:id="14" w:name="Xd71c10f52f6256b36905709e0940b9932833e2a"/>
    <w:p>
      <w:pPr>
        <w:pStyle w:val="Heading3"/>
      </w:pPr>
      <w:r>
        <w:t xml:space="preserve">The capture difference is the one to be careful about</w:t>
      </w:r>
    </w:p>
    <w:p>
      <w:pPr>
        <w:pStyle w:val="FirstParagraph"/>
      </w:pPr>
      <w:r>
        <w:rPr>
          <w:b/>
          <w:bCs/>
        </w:rPr>
        <w:t xml:space="preserve">Our degraded tiers are not photographs.</w:t>
      </w:r>
      <w:r>
        <w:t xml:space="preserve"> </w:t>
      </w:r>
      <w:r>
        <w:t xml:space="preserve">They are a clean render with a</w:t>
      </w:r>
      <w:r>
        <w:t xml:space="preserve"> </w:t>
      </w:r>
      <w:r>
        <w:t xml:space="preserve">parametrised transform stack applied — ink bleed, a lighting gradient, a cast</w:t>
      </w:r>
      <w:r>
        <w:t xml:space="preserve"> </w:t>
      </w:r>
      <w:r>
        <w:t xml:space="preserve">shadow, a fold, geometric warp, Gaussian blur and JPEG compression, at three</w:t>
      </w:r>
      <w:r>
        <w:t xml:space="preserve"> </w:t>
      </w:r>
      <w:r>
        <w:t xml:space="preserve">severities. That is 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of capture noise, and it was calibrated for human</w:t>
      </w:r>
      <w:r>
        <w:t xml:space="preserve"> </w:t>
      </w:r>
      <w:r>
        <w:t xml:space="preserve">legibility rather than derived from real photographs.</w:t>
      </w:r>
    </w:p>
    <w:p>
      <w:pPr>
        <w:pStyle w:val="BodyText"/>
      </w:pPr>
      <w:r>
        <w:t xml:space="preserve">It omits much of what actually degrades a photographed receipt: specular glare,</w:t>
      </w:r>
      <w:r>
        <w:t xml:space="preserve"> </w:t>
      </w:r>
      <w:r>
        <w:t xml:space="preserve">partial occlusion by fingers, motion blur, regions out of focus while others are</w:t>
      </w:r>
      <w:r>
        <w:t xml:space="preserve"> </w:t>
      </w:r>
      <w:r>
        <w:t xml:space="preserve">sharp, sensor noise at low light, faded thermal paper, and the print quality of</w:t>
      </w:r>
      <w:r>
        <w:t xml:space="preserve"> </w:t>
      </w:r>
      <w:r>
        <w:t xml:space="preserve">thermal and dot-matrix tills.</w:t>
      </w:r>
      <w:r>
        <w:t xml:space="preserve"> </w:t>
      </w:r>
      <w:r>
        <w:rPr>
          <w:b/>
          <w:bCs/>
        </w:rPr>
        <w:t xml:space="preserve">So §3's robustness result establishes robustness</w:t>
      </w:r>
      <w:r>
        <w:rPr>
          <w:b/>
          <w:bCs/>
        </w:rPr>
        <w:t xml:space="preserve"> </w:t>
      </w:r>
      <w:r>
        <w:rPr>
          <w:b/>
          <w:bCs/>
        </w:rPr>
        <w:t xml:space="preserve">to those specific transforms, not to real-world capture.</w:t>
      </w:r>
    </w:p>
    <w:p>
      <w:pPr>
        <w:pStyle w:val="BodyText"/>
      </w:pPr>
      <w:r>
        <w:t xml:space="preserve">That distinction cuts directly against the candidate here, and must be stated:</w:t>
      </w:r>
      <w:r>
        <w:t xml:space="preserve"> </w:t>
      </w:r>
      <w:r>
        <w:rPr>
          <w:b/>
          <w:bCs/>
        </w:rPr>
        <w:t xml:space="preserve">SROIE is the only genuinely photographed evidence in this report, and the</w:t>
      </w:r>
      <w:r>
        <w:rPr>
          <w:b/>
          <w:bCs/>
        </w:rPr>
        <w:t xml:space="preserve"> </w:t>
      </w:r>
      <w:r>
        <w:rPr>
          <w:b/>
          <w:bCs/>
        </w:rPr>
        <w:t xml:space="preserve">incumbent wins it.</w:t>
      </w:r>
      <w:r>
        <w:t xml:space="preserve"> </w:t>
      </w:r>
      <w:r>
        <w:t xml:space="preserve">If the live input is photographed receipts rather than</w:t>
      </w:r>
      <w:r>
        <w:t xml:space="preserve"> </w:t>
      </w:r>
      <w:r>
        <w:t xml:space="preserve">rendered or system-generated documents, SROIE is the better guide to what will</w:t>
      </w:r>
      <w:r>
        <w:t xml:space="preserve"> </w:t>
      </w:r>
      <w:r>
        <w:t xml:space="preserve">happen, and it points the other way.</w:t>
      </w:r>
    </w:p>
    <w:bookmarkEnd w:id="14"/>
    <w:bookmarkStart w:id="15" w:name="the-schema-difference"/>
    <w:p>
      <w:pPr>
        <w:pStyle w:val="Heading3"/>
      </w:pPr>
      <w:r>
        <w:t xml:space="preserve">The schema difference</w:t>
      </w:r>
    </w:p>
    <w:p>
      <w:pPr>
        <w:pStyle w:val="FirstParagraph"/>
      </w:pPr>
      <w:r>
        <w:t xml:space="preserve">On the second axis the corpora separate the models in a way SROIE cannot see at</w:t>
      </w:r>
      <w:r>
        <w:t xml:space="preserve"> </w:t>
      </w:r>
      <w:r>
        <w:t xml:space="preserve">all: pooled across tiers, the ten scalar fields differ by a mean of 3.3 points</w:t>
      </w:r>
      <w:r>
        <w:t xml:space="preserve"> </w:t>
      </w:r>
      <w:r>
        <w:t xml:space="preserve">and the four</w:t>
      </w:r>
      <w:r>
        <w:t xml:space="preserve"> </w:t>
      </w:r>
      <w:r>
        <w:rPr>
          <w:rStyle w:val="VerbatimChar"/>
        </w:rPr>
        <w:t xml:space="preserve">LINE_ITEM_*</w:t>
      </w:r>
      <w:r>
        <w:t xml:space="preserve"> </w:t>
      </w:r>
      <w:r>
        <w:t xml:space="preserve">list fields by 12.6. SROIE has four scalar fields and</w:t>
      </w:r>
      <w:r>
        <w:t xml:space="preserve"> </w:t>
      </w:r>
      <w:r>
        <w:t xml:space="preserve">no list fields, so it cannot measure the thing our task most depends on.</w:t>
      </w:r>
    </w:p>
    <w:p>
      <w:pPr>
        <w:pStyle w:val="BodyText"/>
      </w:pPr>
      <w:r>
        <w:rPr>
          <w:b/>
          <w:bCs/>
        </w:rPr>
        <w:t xml:space="preserve">So each benchmark is blind to what the other measures.</w:t>
      </w:r>
      <w:r>
        <w:t xml:space="preserve"> </w:t>
      </w:r>
      <w:r>
        <w:t xml:space="preserve">SROIE cannot see</w:t>
      </w:r>
      <w:r>
        <w:t xml:space="preserve"> </w:t>
      </w:r>
      <w:r>
        <w:t xml:space="preserve">schema compliance across a line-item table; our corpus cannot see real</w:t>
      </w:r>
      <w:r>
        <w:t xml:space="preserve"> </w:t>
      </w:r>
      <w:r>
        <w:t xml:space="preserve">photographic degradation. Neither is a substitute for the other, and the honest</w:t>
      </w:r>
      <w:r>
        <w:t xml:space="preserve"> </w:t>
      </w:r>
      <w:r>
        <w:t xml:space="preserve">reading is that the candidate is ahead on the schema axis and behind — on the</w:t>
      </w:r>
      <w:r>
        <w:t xml:space="preserve"> </w:t>
      </w:r>
      <w:r>
        <w:t xml:space="preserve">only evidence available — on the optical one.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1c5dc9445b105dc5ec05e2393f5d2aab2489110"/>
    <w:p>
      <w:pPr>
        <w:pStyle w:val="Heading2"/>
      </w:pPr>
      <w:r>
        <w:t xml:space="preserve">5. Throughput and deployability</w:t>
      </w:r>
    </w:p>
    <w:p>
      <w:pPr>
        <w:pStyle w:val="FirstParagraph"/>
      </w:pPr>
      <w:r>
        <w:t xml:space="preserve">The candidate is faster on like-for-like work. The reason is raw speed rather</w:t>
      </w:r>
      <w:r>
        <w:t xml:space="preserve"> </w:t>
      </w:r>
      <w:r>
        <w:t xml:space="preserve">than an exclusive ability to use the hardware, and the distinction is set out</w:t>
      </w:r>
      <w:r>
        <w:t xml:space="preserve"> </w:t>
      </w:r>
      <w:r>
        <w:t xml:space="preserve">below because it is easy — and tempting — to overstate.</w:t>
      </w:r>
    </w:p>
    <w:p>
      <w:pPr>
        <w:pStyle w:val="BodyText"/>
      </w:pPr>
      <w:r>
        <w:t xml:space="preserve">On a 24 GiB card (L4 / A10G class), per data-parallel replica: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InternVL3.5-8B (BF16)</w:t>
            </w:r>
          </w:p>
        </w:tc>
        <w:tc>
          <w:tcPr/>
          <w:p>
            <w:pPr>
              <w:pStyle w:val="Compact"/>
            </w:pPr>
            <w:r>
              <w:t xml:space="preserve">Gemma 4 12B (W4A16)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15.9 GiB</w:t>
            </w:r>
          </w:p>
        </w:tc>
        <w:tc>
          <w:tcPr/>
          <w:p>
            <w:pPr>
              <w:pStyle w:val="Compact"/>
            </w:pPr>
            <w:r>
              <w:t xml:space="preserve">~9.6 GiB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remaining</w:t>
            </w:r>
          </w:p>
        </w:tc>
        <w:tc>
          <w:tcPr/>
          <w:p>
            <w:pPr>
              <w:pStyle w:val="Compact"/>
            </w:pPr>
            <w:r>
              <w:t xml:space="preserve">2.27 GiB</w:t>
            </w:r>
          </w:p>
        </w:tc>
        <w:tc>
          <w:tcPr/>
          <w:p>
            <w:pPr>
              <w:pStyle w:val="Compact"/>
            </w:pPr>
            <w:r>
              <w:t xml:space="preserve">~3× 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worst-case concurrency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max_model_len: 16384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3.43×</w:t>
            </w:r>
          </w:p>
        </w:tc>
      </w:tr>
    </w:tbl>
    <w:p>
      <w:pPr>
        <w:pStyle w:val="BodyText"/>
      </w:pPr>
      <w:r>
        <w:t xml:space="preserve">Data parallelism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pool memory — each GPU runs a complete engine</w:t>
      </w:r>
      <w:r>
        <w:t xml:space="preserve"> </w:t>
      </w:r>
      <w:r>
        <w:t xml:space="preserve">replica, so every replica faces the same ceiling.</w:t>
      </w:r>
    </w:p>
    <w:p>
      <w:pPr>
        <w:pStyle w:val="BodyText"/>
      </w:pPr>
      <w:r>
        <w:rPr>
          <w:b/>
          <w:bCs/>
        </w:rPr>
        <w:t xml:space="preserve">Batching headroom is a property of the document type, not of the model.</w:t>
      </w:r>
      <w:r>
        <w:t xml:space="preserve"> </w:t>
      </w:r>
      <w:r>
        <w:t xml:space="preserve">The</w:t>
      </w:r>
      <w:r>
        <w:t xml:space="preserve"> </w:t>
      </w:r>
      <w:r>
        <w:t xml:space="preserve">concurrency figure above is vLLM's worst case — KV tokens ÷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,</w:t>
      </w:r>
      <w:r>
        <w:t xml:space="preserve"> </w:t>
      </w:r>
      <w:r>
        <w:t xml:space="preserve">assuming every sequence fills the full context. Actual consumption scales with</w:t>
      </w:r>
      <w:r>
        <w:t xml:space="preserve"> </w:t>
      </w:r>
      <w:r>
        <w:t xml:space="preserve">actual sequence length, and the extraction workload is not uniform: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tiles per request</w:t>
            </w:r>
          </w:p>
        </w:tc>
        <w:tc>
          <w:tcPr/>
          <w:p>
            <w:pPr>
              <w:pStyle w:val="Compact"/>
            </w:pPr>
            <w:r>
              <w:t xml:space="preserve">output budget</w:t>
            </w:r>
          </w:p>
        </w:tc>
        <w:tc>
          <w:tcPr/>
          <w:p>
            <w:pPr>
              <w:pStyle w:val="Compact"/>
            </w:pPr>
            <w:r>
              <w:t xml:space="preserve">batching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2–3 (aspect-matched,</w:t>
            </w:r>
            <w:r>
              <w:t xml:space="preserve"> </w:t>
            </w:r>
            <w:r>
              <w:rPr>
                <w:rStyle w:val="VerbatimChar"/>
              </w:rPr>
              <w:t xml:space="preserve">min 1 / max 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500–2048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models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~2–4 (</w:t>
            </w:r>
            <w:r>
              <w:rPr>
                <w:rStyle w:val="VerbatimChar"/>
              </w:rPr>
              <w:t xml:space="preserve">min 1 / max 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models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statement</w:t>
            </w:r>
          </w:p>
        </w:tc>
        <w:tc>
          <w:tcPr/>
          <w:p>
            <w:pPr>
              <w:pStyle w:val="Compact"/>
            </w:pPr>
            <w:r>
              <w:t xml:space="preserve">12–18 (</w:t>
            </w:r>
            <w:r>
              <w:rPr>
                <w:rStyle w:val="VerbatimChar"/>
              </w:rPr>
              <w:t xml:space="preserve">min 12 / max 18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4096</w:t>
            </w:r>
          </w:p>
        </w:tc>
        <w:tc>
          <w:tcPr/>
          <w:p>
            <w:pPr>
              <w:pStyle w:val="Compact"/>
            </w:pPr>
            <w:r>
              <w:t xml:space="preserve">neither — see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incumbent therefore has batching headroom across most of the workload by</w:t>
      </w:r>
      <w:r>
        <w:rPr>
          <w:b/>
          <w:bCs/>
        </w:rPr>
        <w:t xml:space="preserve"> </w:t>
      </w:r>
      <w:r>
        <w:rPr>
          <w:b/>
          <w:bCs/>
        </w:rPr>
        <w:t xml:space="preserve">document count.</w:t>
      </w:r>
      <w:r>
        <w:t xml:space="preserve"> </w:t>
      </w:r>
      <w:r>
        <w:t xml:space="preserve">The SROIE benchmark is direct evidence: those are 2–3 tile</w:t>
      </w:r>
      <w:r>
        <w:t xml:space="preserve"> </w:t>
      </w:r>
      <w:r>
        <w:t xml:space="preserve">receipts, InternVL3.5 ran at</w:t>
      </w:r>
      <w:r>
        <w:t xml:space="preserve"> </w:t>
      </w:r>
      <w:r>
        <w:rPr>
          <w:rStyle w:val="VerbatimChar"/>
        </w:rPr>
        <w:t xml:space="preserve">max_num_seqs: 8</w:t>
      </w:r>
      <w:r>
        <w:t xml:space="preserve">, and enabling batching gained it</w:t>
      </w:r>
      <w:r>
        <w:t xml:space="preserve"> </w:t>
      </w:r>
      <w:r>
        <w:t xml:space="preserve">3.3× (25.8 → 84.4 img/min). Batching is not something only the candidate can do.</w:t>
      </w:r>
    </w:p>
    <w:p>
      <w:pPr>
        <w:pStyle w:val="BodyText"/>
      </w:pPr>
      <w:r>
        <w:rPr>
          <w:b/>
          <w:bCs/>
        </w:rPr>
        <w:t xml:space="preserve">Bank statements are the exception, and not for a reason that favours either</w:t>
      </w:r>
      <w:r>
        <w:rPr>
          <w:b/>
          <w:bCs/>
        </w:rPr>
        <w:t xml:space="preserve"> </w:t>
      </w:r>
      <w:r>
        <w:rPr>
          <w:b/>
          <w:bCs/>
        </w:rPr>
        <w:t xml:space="preserve">model.</w:t>
      </w:r>
      <w:r>
        <w:t xml:space="preserve"> </w:t>
      </w:r>
      <w:r>
        <w:t xml:space="preserve">They are the only heavy type — 12–18 tiles plus a 4096-token output</w:t>
      </w:r>
      <w:r>
        <w:t xml:space="preserve"> </w:t>
      </w:r>
      <w:r>
        <w:t xml:space="preserve">budget, genuinely approaching the 16,384 context — but they also run multi-turn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UnifiedBankExtractor</w:t>
      </w:r>
      <w:r>
        <w:t xml:space="preserve">, where turn N depends on turn N−1's answer. There</w:t>
      </w:r>
      <w:r>
        <w:t xml:space="preserve"> </w:t>
      </w:r>
      <w:r>
        <w:t xml:space="preserve">is nothing to batch, for either model. The memory ceiling and the architectural</w:t>
      </w:r>
      <w:r>
        <w:t xml:space="preserve"> </w:t>
      </w:r>
      <w:r>
        <w:t xml:space="preserve">one point the same way, and neither differentiates the candidate.</w:t>
      </w:r>
    </w:p>
    <w:p>
      <w:pPr>
        <w:pStyle w:val="BodyText"/>
      </w:pPr>
      <w:r>
        <w:rPr>
          <w:b/>
          <w:bCs/>
        </w:rPr>
        <w:t xml:space="preserve">Batching also helps both models by about the same factor</w:t>
      </w:r>
      <w:r>
        <w:t xml:space="preserve"> </w:t>
      </w:r>
      <w:r>
        <w:t xml:space="preserve">— measured on SROIE,</w:t>
      </w:r>
      <w:r>
        <w:t xml:space="preserve"> </w:t>
      </w:r>
      <w:r>
        <w:t xml:space="preserve">InternVL3.5 3.3× (25.8 → 84.4 img/min) and Gemma 4 3.1× (34.1 → 106.1). So</w:t>
      </w:r>
      <w:r>
        <w:t xml:space="preserve"> </w:t>
      </w:r>
      <w:r>
        <w:t xml:space="preserve">continuous batching is a fix the pipeline needed, not an argument for either</w:t>
      </w:r>
      <w:r>
        <w:t xml:space="preserve"> </w:t>
      </w:r>
      <w:r>
        <w:t xml:space="preserve">model over the other.</w:t>
      </w:r>
    </w:p>
    <w:p>
      <w:pPr>
        <w:pStyle w:val="BodyText"/>
      </w:pPr>
      <w:r>
        <w:rPr>
          <w:b/>
          <w:bCs/>
        </w:rPr>
        <w:t xml:space="preserve">What the measurements support is a raw speed difference.</w:t>
      </w:r>
      <w:r>
        <w:t xml:space="preserve"> </w:t>
      </w:r>
      <w:r>
        <w:t xml:space="preserve">On like-for-like</w:t>
      </w:r>
      <w:r>
        <w:t xml:space="preserve"> </w:t>
      </w:r>
      <w:r>
        <w:t xml:space="preserve">work — same split, same hardware, both models batched — Gemma 4 processed</w:t>
      </w:r>
      <w:r>
        <w:t xml:space="preserve"> </w:t>
      </w:r>
      <w:r>
        <w:rPr>
          <w:b/>
          <w:bCs/>
        </w:rPr>
        <w:t xml:space="preserve">107.2 img/min against 65.9, i.e. 1.63×</w:t>
      </w:r>
      <w:r>
        <w:t xml:space="preserve">. That is the throughput claim this</w:t>
      </w:r>
      <w:r>
        <w:t xml:space="preserve"> </w:t>
      </w:r>
      <w:r>
        <w:t xml:space="preserve">report makes, and it is the only one backed by a controlled pair of runs.</w:t>
      </w:r>
    </w:p>
    <w:p>
      <w:pPr>
        <w:pStyle w:val="BodyText"/>
      </w:pPr>
      <w:r>
        <w:t xml:space="preserve">Gemma 4's roughly 6 GiB smaller weights do leave more KV headroom, which should</w:t>
      </w:r>
      <w:r>
        <w:t xml:space="preserve"> </w:t>
      </w:r>
      <w:r>
        <w:t xml:space="preserve">let it scale further as batch sizes rise and would matter most on the heaviest</w:t>
      </w:r>
      <w:r>
        <w:t xml:space="preserve"> </w:t>
      </w:r>
      <w:r>
        <w:t xml:space="preserve">documents. That is a reasonable expectation from the arithmetic; it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measured on the extraction path, and is stated here as an expectation only.</w:t>
      </w:r>
    </w:p>
    <w:p>
      <w:pPr>
        <w:pStyle w:val="BodyText"/>
      </w:pPr>
      <w:r>
        <w:rPr>
          <w:b/>
          <w:bCs/>
        </w:rPr>
        <w:t xml:space="preserve">Consequence for capacity planning:</w:t>
      </w:r>
      <w:r>
        <w:t xml:space="preserve"> </w:t>
      </w:r>
      <w:r>
        <w:t xml:space="preserve">at equal hardware and equal batching, the</w:t>
      </w:r>
      <w:r>
        <w:t xml:space="preserve"> </w:t>
      </w:r>
      <w:r>
        <w:t xml:space="preserve">candidate does roughly 1.6× the work per GPU-hour. Both models scale by adding</w:t>
      </w:r>
      <w:r>
        <w:t xml:space="preserve"> </w:t>
      </w:r>
      <w:r>
        <w:t xml:space="preserve">GPUs; the candidate simply needs fewer of them for the same throughput.</w:t>
      </w:r>
    </w:p>
    <w:p>
      <w:r>
        <w:pict>
          <v:rect style="width:0;height:1.5pt" o:hralign="center" o:hrstd="t" o:hr="t"/>
        </w:pict>
      </w:r>
    </w:p>
    <w:bookmarkEnd w:id="17"/>
    <w:bookmarkStart w:id="18" w:name="Xf529d2cc03c90a2be466384e295551f46a3be35"/>
    <w:p>
      <w:pPr>
        <w:pStyle w:val="Heading2"/>
      </w:pPr>
      <w:r>
        <w:t xml:space="preserve">6. Instrument validation</w:t>
      </w:r>
    </w:p>
    <w:p>
      <w:pPr>
        <w:pStyle w:val="FirstParagraph"/>
      </w:pPr>
      <w:r>
        <w:t xml:space="preserve">The SROIE benchmark was run on the production machine and on the development</w:t>
      </w:r>
      <w:r>
        <w:t xml:space="preserve"> </w:t>
      </w:r>
      <w:r>
        <w:t xml:space="preserve">sandbox from the same commit: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sandbox (DP=2)</w:t>
            </w:r>
          </w:p>
        </w:tc>
        <w:tc>
          <w:tcPr/>
          <w:p>
            <w:pPr>
              <w:pStyle w:val="Compact"/>
            </w:pPr>
            <w:r>
              <w:t xml:space="preserve">production (DP=4)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0.7889</w:t>
            </w:r>
          </w:p>
        </w:tc>
        <w:tc>
          <w:tcPr/>
          <w:p>
            <w:pPr>
              <w:pStyle w:val="Compact"/>
            </w:pPr>
            <w:r>
              <w:t xml:space="preserve">0.7882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lenient</w:t>
            </w:r>
          </w:p>
        </w:tc>
        <w:tc>
          <w:tcPr/>
          <w:p>
            <w:pPr>
              <w:pStyle w:val="Compact"/>
            </w:pPr>
            <w:r>
              <w:t xml:space="preserve">0.8892</w:t>
            </w:r>
          </w:p>
        </w:tc>
        <w:tc>
          <w:tcPr/>
          <w:p>
            <w:pPr>
              <w:pStyle w:val="Compact"/>
            </w:pPr>
            <w:r>
              <w:t xml:space="preserve">0.8885</w:t>
            </w:r>
          </w:p>
        </w:tc>
        <w:tc>
          <w:tcPr/>
          <w:p>
            <w:pPr>
              <w:pStyle w:val="Compact"/>
            </w:pPr>
            <w:r>
              <w:t xml:space="preserve">−0.0007</w:t>
            </w:r>
          </w:p>
        </w:tc>
      </w:tr>
    </w:tbl>
    <w:p>
      <w:pPr>
        <w:pStyle w:val="BodyText"/>
      </w:pPr>
      <w:r>
        <w:t xml:space="preserve">That delta is exactly</w:t>
      </w:r>
      <w:r>
        <w:t xml:space="preserve"> </w:t>
      </w:r>
      <w:r>
        <w:rPr>
          <w:b/>
          <w:bCs/>
        </w:rPr>
        <w:t xml:space="preserve">one flipped field-document out of 1,388</w:t>
      </w:r>
      <w:r>
        <w:t xml:space="preserve"> </w:t>
      </w:r>
      <w:r>
        <w:t xml:space="preserve">(1 / (4 × 347)</w:t>
      </w:r>
      <w:r>
        <w:t xml:space="preserve"> </w:t>
      </w:r>
      <w:r>
        <w:t xml:space="preserve">= 0.00072). Three individual field-documents changed and netted −1.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were identical to four decimal places on both machines.</w:t>
      </w:r>
    </w:p>
    <w:p>
      <w:pPr>
        <w:pStyle w:val="BodyText"/>
      </w:pPr>
      <w:r>
        <w:t xml:space="preserve">The two runs used different data-parallel sharding (4 GPUs against 2), which</w:t>
      </w:r>
      <w:r>
        <w:t xml:space="preserve"> </w:t>
      </w:r>
      <w:r>
        <w:t xml:space="preserve">changes batch composition and therefore the arithmetic order within a batch.</w:t>
      </w:r>
      <w:r>
        <w:t xml:space="preserve"> </w:t>
      </w:r>
      <w:r>
        <w:t xml:space="preserve">Under greedy decoding with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batch composition the pipeline is</w:t>
      </w:r>
      <w:r>
        <w:t xml:space="preserve"> </w:t>
      </w:r>
      <w:r>
        <w:t xml:space="preserve">bit-for-bit deterministic — confirmed by an accidental no-op re-run producing</w:t>
      </w:r>
      <w:r>
        <w:t xml:space="preserve"> </w:t>
      </w:r>
      <w:r>
        <w:t xml:space="preserve">identical output on all four fields. So the observed movement is explained, not</w:t>
      </w:r>
      <w:r>
        <w:t xml:space="preserve"> </w:t>
      </w:r>
      <w:r>
        <w:t xml:space="preserve">merely tolerated.</w:t>
      </w:r>
    </w:p>
    <w:p>
      <w:pPr>
        <w:pStyle w:val="BodyText"/>
      </w:pPr>
      <w:r>
        <w:rPr>
          <w:b/>
          <w:bCs/>
        </w:rPr>
        <w:t xml:space="preserve">Why this matters for the decision:</w:t>
      </w:r>
      <w:r>
        <w:t xml:space="preserve"> </w:t>
      </w:r>
      <w:r>
        <w:t xml:space="preserve">the harness — dataset loading, prompting,</w:t>
      </w:r>
      <w:r>
        <w:t xml:space="preserve"> </w:t>
      </w:r>
      <w:r>
        <w:t xml:space="preserve">parsing, scoring — is identical code for both models. Validating it against</w:t>
      </w:r>
      <w:r>
        <w:t xml:space="preserve"> </w:t>
      </w:r>
      <w:r>
        <w:t xml:space="preserve">production for the incumbent means the candidate's sandbox numbers were produced</w:t>
      </w:r>
      <w:r>
        <w:t xml:space="preserve"> </w:t>
      </w:r>
      <w:r>
        <w:t xml:space="preserve">by an instrument known to agree with production to 0.0007.</w:t>
      </w:r>
    </w:p>
    <w:p>
      <w:pPr>
        <w:pStyle w:val="BodyText"/>
      </w:pPr>
      <w:r>
        <w:rPr>
          <w:b/>
          <w:bCs/>
        </w:rPr>
        <w:t xml:space="preserve">Limit of that argument:</w:t>
      </w:r>
      <w:r>
        <w:t xml:space="preserve"> </w:t>
      </w:r>
      <w:r>
        <w:t xml:space="preserve">it validates the harness, not the engine. Gemma 4</w:t>
      </w:r>
      <w:r>
        <w:t xml:space="preserve"> </w:t>
      </w:r>
      <w:r>
        <w:t xml:space="preserve">runs on vLLM 0.25.1 in a separate conda environment; that stack has not been</w:t>
      </w:r>
      <w:r>
        <w:t xml:space="preserve"> </w:t>
      </w:r>
      <w:r>
        <w:t xml:space="preserve">exercised on the production environment. See §8.</w:t>
      </w:r>
    </w:p>
    <w:p>
      <w:r>
        <w:pict>
          <v:rect style="width:0;height:1.5pt" o:hralign="center" o:hrstd="t" o:hr="t"/>
        </w:pict>
      </w:r>
    </w:p>
    <w:bookmarkEnd w:id="18"/>
    <w:bookmarkStart w:id="19" w:name="Xb97e6f2ba0a4256db43130fd2a7064c94a3ee9a"/>
    <w:p>
      <w:pPr>
        <w:pStyle w:val="Heading2"/>
      </w:pPr>
      <w:r>
        <w:t xml:space="preserve">7. Confounds and limitations</w:t>
      </w:r>
    </w:p>
    <w:p>
      <w:pPr>
        <w:pStyle w:val="FirstParagraph"/>
      </w:pPr>
      <w:r>
        <w:t xml:space="preserve">State these wherever the numbers are quoted. The comparison is controlled on</w:t>
      </w:r>
      <w:r>
        <w:t xml:space="preserve"> </w:t>
      </w:r>
      <w:r>
        <w:t xml:space="preserve">data, ground truth, scorer, prompt and hardware, but not on these: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 version</w:t>
      </w:r>
      <w:r>
        <w:t xml:space="preserve"> </w:t>
      </w:r>
      <w:r>
        <w:t xml:space="preserve">— InternVL3.5 on vLLM 0.19.0, Gemma 4 on 0.25.1.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— BF16 against QAT W4A16. This is also the reason the candidate</w:t>
      </w:r>
      <w:r>
        <w:t xml:space="preserve"> </w:t>
      </w:r>
      <w:r>
        <w:t xml:space="preserve">can be batched and the incumbent cannot, so it is not a confound that could be</w:t>
      </w:r>
      <w:r>
        <w:t xml:space="preserve"> </w:t>
      </w:r>
      <w:r>
        <w:t xml:space="preserve">removed without removing the advantage.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generation</w:t>
      </w:r>
      <w:r>
        <w:t xml:space="preserve"> </w:t>
      </w:r>
      <w:r>
        <w:t xml:space="preserve">— Gemma 4 is roughly a year newer. Part of any margin is</w:t>
      </w:r>
      <w:r>
        <w:t xml:space="preserve"> </w:t>
      </w:r>
      <w:r>
        <w:t xml:space="preserve">generational rather than architectural.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 handling</w:t>
      </w:r>
      <w:r>
        <w:t xml:space="preserve"> </w:t>
      </w:r>
      <w:r>
        <w:t xml:space="preserve">— InternVL3.5 uses 448-px pre-tiling; Gemma 4 uses a soft</w:t>
      </w:r>
      <w:r>
        <w:t xml:space="preserve"> </w:t>
      </w:r>
      <w:r>
        <w:t xml:space="preserve">token budget with pre-tiling off. Each is that model's correct configuration,</w:t>
      </w:r>
      <w:r>
        <w:t xml:space="preserve"> </w:t>
      </w:r>
      <w:r>
        <w:t xml:space="preserve">but they are not the same mechanism.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renders are not scans, and simulated degradation is not</w:t>
      </w:r>
      <w:r>
        <w:rPr>
          <w:b/>
          <w:bCs/>
        </w:rPr>
        <w:t xml:space="preserve"> </w:t>
      </w:r>
      <w:r>
        <w:rPr>
          <w:b/>
          <w:bCs/>
        </w:rPr>
        <w:t xml:space="preserve">photography.</w:t>
      </w:r>
      <w:r>
        <w:t xml:space="preserve"> </w:t>
      </w:r>
      <w:r>
        <w:t xml:space="preserve">Production-corpus scores are an upper bound for real-world</w:t>
      </w:r>
      <w:r>
        <w:t xml:space="preserve"> </w:t>
      </w:r>
      <w:r>
        <w:t xml:space="preserve">documents:</w:t>
      </w:r>
      <w:r>
        <w:t xml:space="preserve"> </w:t>
      </w:r>
      <w:r>
        <w:rPr>
          <w:rStyle w:val="VerbatimChar"/>
        </w:rPr>
        <w:t xml:space="preserve">BUSINESS_ADDRESS</w:t>
      </w:r>
      <w:r>
        <w:t xml:space="preserve"> </w:t>
      </w:r>
      <w:r>
        <w:t xml:space="preserve">scores 0.95 there against 0.76 on scanned SROIE.</w:t>
      </w:r>
      <w:r>
        <w:t xml:space="preserve"> </w:t>
      </w:r>
      <w:r>
        <w:t xml:space="preserve">The degraded tiers narrow that gap but do not close it, because they apply a</w:t>
      </w:r>
      <w:r>
        <w:t xml:space="preserve"> </w:t>
      </w:r>
      <w:r>
        <w:t xml:space="preserve">fixed transform stack rather than reproducing real capture conditions (§4).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Five scoring defects were found and fixed during this work</w:t>
      </w:r>
      <w:r>
        <w:t xml:space="preserve"> </w:t>
      </w:r>
      <w:r>
        <w:t xml:space="preserve">— a text</w:t>
      </w:r>
      <w:r>
        <w:t xml:space="preserve"> </w:t>
      </w:r>
      <w:r>
        <w:t xml:space="preserve">similarity fallback silently degraded to exact string matching, list fields</w:t>
      </w:r>
      <w:r>
        <w:t xml:space="preserve"> </w:t>
      </w:r>
      <w:r>
        <w:t xml:space="preserve">compared as text rather than by type, quantity decoration (</w:t>
      </w:r>
      <w:r>
        <w:rPr>
          <w:rStyle w:val="VerbatimChar"/>
        </w:rPr>
        <w:t xml:space="preserve">3x</w:t>
      </w:r>
      <w:r>
        <w:t xml:space="preserve">) compared as a</w:t>
      </w:r>
      <w:r>
        <w:t xml:space="preserve"> </w:t>
      </w:r>
      <w:r>
        <w:t xml:space="preserve">string, descriptions missing from the register, and a cleaner that shifted</w:t>
      </w:r>
      <w:r>
        <w:t xml:space="preserve"> </w:t>
      </w:r>
      <w:r>
        <w:t xml:space="preserve">index-aligned columns out of alignment. Each scored correct extractions as</w:t>
      </w:r>
      <w:r>
        <w:t xml:space="preserve"> </w:t>
      </w:r>
      <w:r>
        <w:t xml:space="preserve">wrong. Gemma 4's clean-receipt accuracy moved 0.847 → 0.975 across those fixes</w:t>
      </w:r>
      <w:r>
        <w:t xml:space="preserve"> </w:t>
      </w:r>
      <w:r>
        <w:t xml:space="preserve">and InternVL3.5's 0.752 → 0.913.</w:t>
      </w:r>
      <w:r>
        <w:t xml:space="preserve"> </w:t>
      </w:r>
      <w:r>
        <w:rPr>
          <w:b/>
          <w:bCs/>
        </w:rPr>
        <w:t xml:space="preserve">The ranking never changed, but the margin</w:t>
      </w:r>
      <w:r>
        <w:rPr>
          <w:b/>
          <w:bCs/>
        </w:rPr>
        <w:t xml:space="preserve"> </w:t>
      </w:r>
      <w:r>
        <w:rPr>
          <w:b/>
          <w:bCs/>
        </w:rPr>
        <w:t xml:space="preserve">narrowed from ~10 points to ~6.</w:t>
      </w:r>
      <w:r>
        <w:t xml:space="preserve"> </w:t>
      </w:r>
      <w:r>
        <w:t xml:space="preserve">Treat any single-field difference as</w:t>
      </w:r>
      <w:r>
        <w:t xml:space="preserve"> </w:t>
      </w:r>
      <w:r>
        <w:t xml:space="preserve">provisional until it has survived inspection of the raw output.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Re-scoring an unchanged run moved one model's mean by 0.049.</w:t>
      </w:r>
      <w:r>
        <w:t xml:space="preserve"> </w:t>
      </w:r>
      <w:r>
        <w:t xml:space="preserve">Any</w:t>
      </w:r>
      <w:r>
        <w:t xml:space="preserve"> </w:t>
      </w:r>
      <w:r>
        <w:t xml:space="preserve">comparison must have both sides scored by the same code. Figures quoted from</w:t>
      </w:r>
      <w:r>
        <w:t xml:space="preserve"> </w:t>
      </w:r>
      <w:r>
        <w:t xml:space="preserve">older logs are not comparable to figures produced today.</w:t>
      </w:r>
    </w:p>
    <w:p>
      <w:r>
        <w:pict>
          <v:rect style="width:0;height:1.5pt" o:hralign="center" o:hrstd="t" o:hr="t"/>
        </w:pict>
      </w:r>
    </w:p>
    <w:bookmarkEnd w:id="19"/>
    <w:bookmarkStart w:id="20" w:name="X11ab61172f7e60d86b9afd5d36de23eca24c88c"/>
    <w:p>
      <w:pPr>
        <w:pStyle w:val="Heading2"/>
      </w:pPr>
      <w:r>
        <w:t xml:space="preserve">8. What this report cannot answer</w:t>
      </w:r>
    </w:p>
    <w:p>
      <w:pPr>
        <w:pStyle w:val="FirstParagraph"/>
      </w:pPr>
      <w:r>
        <w:t xml:space="preserve">Honest gaps, all of which follow from the candidate not being approved to run on</w:t>
      </w:r>
      <w:r>
        <w:t xml:space="preserve"> </w:t>
      </w:r>
      <w:r>
        <w:t xml:space="preserve">production: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Gemma 4 has never run on the production environment.</w:t>
      </w:r>
      <w:r>
        <w:t xml:space="preserve"> </w:t>
      </w:r>
      <w:r>
        <w:t xml:space="preserve">All candidate figures</w:t>
      </w:r>
      <w:r>
        <w:t xml:space="preserve"> </w:t>
      </w:r>
      <w:r>
        <w:t xml:space="preserve">come from the development sandbox. The harness is cross-validated (§6); the</w:t>
      </w:r>
      <w:r>
        <w:t xml:space="preserve"> </w:t>
      </w:r>
      <w:r>
        <w:t xml:space="preserve">vLLM 0.25.1 engine and its environment are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production-hardware throughput figure for the candidate.</w:t>
      </w:r>
      <w:r>
        <w:t xml:space="preserve"> </w:t>
      </w:r>
      <w:r>
        <w:t xml:space="preserve">The 1.63× is</w:t>
      </w:r>
      <w:r>
        <w:t xml:space="preserve"> </w:t>
      </w:r>
      <w:r>
        <w:t xml:space="preserve">a sandbox measurement. The claim that the candidate's spare KV headroom would</w:t>
      </w:r>
      <w:r>
        <w:t xml:space="preserve"> </w:t>
      </w:r>
      <w:r>
        <w:t xml:space="preserve">let it scale further at larger batch sizes is arithmetic only —</w:t>
      </w:r>
      <w:r>
        <w:t xml:space="preserve"> </w:t>
      </w:r>
      <w:r>
        <w:rPr>
          <w:b/>
          <w:bCs/>
        </w:rPr>
        <w:t xml:space="preserve">it has not</w:t>
      </w:r>
      <w:r>
        <w:rPr>
          <w:b/>
          <w:bCs/>
        </w:rPr>
        <w:t xml:space="preserve"> </w:t>
      </w:r>
      <w:r>
        <w:rPr>
          <w:b/>
          <w:bCs/>
        </w:rPr>
        <w:t xml:space="preserve">been measured on the extraction path for either model</w:t>
      </w:r>
      <w:r>
        <w:t xml:space="preserve">, and the extraction</w:t>
      </w:r>
      <w:r>
        <w:t xml:space="preserve"> </w:t>
      </w:r>
      <w:r>
        <w:t xml:space="preserve">path is where the workload actually lives.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real-document accuracy for either model, and no real photographs of our</w:t>
      </w:r>
      <w:r>
        <w:rPr>
          <w:b/>
          <w:bCs/>
        </w:rPr>
        <w:t xml:space="preserve"> </w:t>
      </w:r>
      <w:r>
        <w:rPr>
          <w:b/>
          <w:bCs/>
        </w:rPr>
        <w:t xml:space="preserve">own documents at all.</w:t>
      </w:r>
      <w:r>
        <w:t xml:space="preserve"> </w:t>
      </w:r>
      <w:r>
        <w:t xml:space="preserve">The production corpus is rendered from PDF, and its</w:t>
      </w:r>
      <w:r>
        <w:t xml:space="preserve"> </w:t>
      </w:r>
      <w:r>
        <w:t xml:space="preserve">degraded tiers are simulated rather than photographed. SROIE is genuinely</w:t>
      </w:r>
      <w:r>
        <w:t xml:space="preserve"> </w:t>
      </w:r>
      <w:r>
        <w:t xml:space="preserve">photographed but is somebody else's document type. So the combination we</w:t>
      </w:r>
      <w:r>
        <w:t xml:space="preserve"> </w:t>
      </w:r>
      <w:r>
        <w:t xml:space="preserve">actually care about —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documents,</w:t>
      </w:r>
      <w:r>
        <w:t xml:space="preserve"> </w:t>
      </w:r>
      <w:r>
        <w:rPr>
          <w:i/>
          <w:iCs/>
        </w:rPr>
        <w:t xml:space="preserve">really</w:t>
      </w:r>
      <w:r>
        <w:t xml:space="preserve"> </w:t>
      </w:r>
      <w:r>
        <w:t xml:space="preserve">photographed — has never been</w:t>
      </w:r>
      <w:r>
        <w:t xml:space="preserve"> </w:t>
      </w:r>
      <w:r>
        <w:t xml:space="preserve">measured for either model. This is the largest gap in the report, and the one</w:t>
      </w:r>
      <w:r>
        <w:t xml:space="preserve"> </w:t>
      </w:r>
      <w:r>
        <w:t xml:space="preserve">most likely to change the answer.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address</w:t>
      </w:r>
      <w:r>
        <w:rPr>
          <w:b/>
          <w:bCs/>
        </w:rPr>
        <w:t xml:space="preserve"> </w:t>
      </w:r>
      <w:r>
        <w:rPr>
          <w:b/>
          <w:bCs/>
        </w:rPr>
        <w:t xml:space="preserve">remains the weakest field for both models</w:t>
      </w:r>
      <w:r>
        <w:t xml:space="preserve"> </w:t>
      </w:r>
      <w:r>
        <w:t xml:space="preserve">(0.76 / 0.67 on</w:t>
      </w:r>
      <w:r>
        <w:t xml:space="preserve"> </w:t>
      </w:r>
      <w:r>
        <w:t xml:space="preserve">SROIE) after every lever was exhausted. The residue is genuine small-print</w:t>
      </w:r>
      <w:r>
        <w:t xml:space="preserve"> </w:t>
      </w:r>
      <w:r>
        <w:t xml:space="preserve">difficulty plus known answer-key errors.</w:t>
      </w:r>
    </w:p>
    <w:p>
      <w:r>
        <w:pict>
          <v:rect style="width:0;height:1.5pt" o:hralign="center" o:hrstd="t" o:hr="t"/>
        </w:pict>
      </w:r>
    </w:p>
    <w:bookmarkEnd w:id="20"/>
    <w:bookmarkStart w:id="22" w:name="Xbddf55ea40be64226f84558918e5cd3b2a27aa5"/>
    <w:p>
      <w:pPr>
        <w:pStyle w:val="Heading2"/>
      </w:pPr>
      <w:r>
        <w:t xml:space="preserve">9. Recommendation</w:t>
      </w:r>
    </w:p>
    <w:p>
      <w:pPr>
        <w:pStyle w:val="FirstParagraph"/>
      </w:pPr>
      <w:r>
        <w:rPr>
          <w:b/>
          <w:bCs/>
        </w:rPr>
        <w:t xml:space="preserve">Approve Gemma 4 12B W4A16 for a supervised production trial</w:t>
      </w:r>
      <w:r>
        <w:t xml:space="preserve">, on these</w:t>
      </w:r>
      <w:r>
        <w:t xml:space="preserve"> </w:t>
      </w:r>
      <w:r>
        <w:t xml:space="preserve">grounds:</w:t>
      </w:r>
    </w:p>
    <w:p>
      <w:pPr>
        <w:pStyle w:val="Compact"/>
        <w:numPr>
          <w:ilvl w:val="0"/>
          <w:numId w:val="1005"/>
        </w:numPr>
      </w:pPr>
      <w:r>
        <w:t xml:space="preserve">It is more accurate on the document types and schema we actually process,</w:t>
      </w:r>
      <w:r>
        <w:t xml:space="preserve"> </w:t>
      </w:r>
      <w:r>
        <w:t xml:space="preserve">winning or tying all fourteen fields.</w:t>
      </w:r>
    </w:p>
    <w:p>
      <w:pPr>
        <w:pStyle w:val="Compact"/>
        <w:numPr>
          <w:ilvl w:val="0"/>
          <w:numId w:val="1005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1.63× faster on like-for-like work</w:t>
      </w:r>
      <w:r>
        <w:t xml:space="preserve"> </w:t>
      </w:r>
      <w:r>
        <w:t xml:space="preserve">— same split, same hardware,</w:t>
      </w:r>
      <w:r>
        <w:t xml:space="preserve"> </w:t>
      </w:r>
      <w:r>
        <w:t xml:space="preserve">both models batched. This is a raw speed difference, not an exclusive ability</w:t>
      </w:r>
      <w:r>
        <w:t xml:space="preserve"> </w:t>
      </w:r>
      <w:r>
        <w:t xml:space="preserve">to batch: continuous batching benefits both models by about the same factor</w:t>
      </w:r>
      <w:r>
        <w:t xml:space="preserve"> </w:t>
      </w:r>
      <w:r>
        <w:t xml:space="preserve">(3.3× and 3.1× respectively), and the one document type neither can batch —</w:t>
      </w:r>
      <w:r>
        <w:t xml:space="preserve"> </w:t>
      </w:r>
      <w:r>
        <w:t xml:space="preserve">the bank statement — is blocked by its multi-turn extraction design rather</w:t>
      </w:r>
      <w:r>
        <w:t xml:space="preserve"> </w:t>
      </w:r>
      <w:r>
        <w:t xml:space="preserve">than by memory. The candidate's smaller weights leave more KV headroom and</w:t>
      </w:r>
      <w:r>
        <w:t xml:space="preserve"> </w:t>
      </w:r>
      <w:r>
        <w:t xml:space="preserve">should scale further at larger batch sizes, but that has not been measured on</w:t>
      </w:r>
      <w:r>
        <w:t xml:space="preserve"> </w:t>
      </w:r>
      <w:r>
        <w:t xml:space="preserve">the extraction path and is not claimed here.</w:t>
      </w:r>
    </w:p>
    <w:p>
      <w:pPr>
        <w:pStyle w:val="Compact"/>
        <w:numPr>
          <w:ilvl w:val="0"/>
          <w:numId w:val="1005"/>
        </w:numPr>
      </w:pPr>
      <w:r>
        <w:t xml:space="preserve">It is not more fragile under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degradation — both models lose the</w:t>
      </w:r>
      <w:r>
        <w:t xml:space="preserve"> </w:t>
      </w:r>
      <w:r>
        <w:t xml:space="preserve">same proportion across the tiers, and classification is unaffected for both.</w:t>
      </w:r>
    </w:p>
    <w:p>
      <w:pPr>
        <w:pStyle w:val="FirstParagraph"/>
      </w:pPr>
      <w:r>
        <w:rPr>
          <w:b/>
          <w:bCs/>
        </w:rPr>
        <w:t xml:space="preserve">Not</w:t>
      </w:r>
      <w:r>
        <w:t xml:space="preserve"> </w:t>
      </w:r>
      <w:r>
        <w:t xml:space="preserve">on the grounds that it is a better document reader in general. On</w:t>
      </w:r>
      <w:r>
        <w:t xml:space="preserve"> </w:t>
      </w:r>
      <w:r>
        <w:t xml:space="preserve">genuinely photographed receipts — the only such evidence available — the</w:t>
      </w:r>
      <w:r>
        <w:t xml:space="preserve"> </w:t>
      </w:r>
      <w:r>
        <w:t xml:space="preserve">incumbent is better by 5.9 points and retains a working resolution lever the</w:t>
      </w:r>
      <w:r>
        <w:t xml:space="preserve"> </w:t>
      </w:r>
      <w:r>
        <w:t xml:space="preserve">candidate lacks. Ground 3 above says the candidate is no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fragile under a</w:t>
      </w:r>
      <w:r>
        <w:t xml:space="preserve"> </w:t>
      </w:r>
      <w:r>
        <w:t xml:space="preserve">simulated transform stack; it does not say either model has been tested on real</w:t>
      </w:r>
      <w:r>
        <w:t xml:space="preserve"> </w:t>
      </w:r>
      <w:r>
        <w:t xml:space="preserve">photographs of our own documents, because neither has (§8, gap 3).</w:t>
      </w:r>
    </w:p>
    <w:bookmarkStart w:id="21" w:name="proposed-conditions"/>
    <w:p>
      <w:pPr>
        <w:pStyle w:val="Heading3"/>
      </w:pPr>
      <w:r>
        <w:t xml:space="preserve">Proposed conditions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Consider approving a benchmark-only run as a first, smaller step.</w:t>
      </w:r>
      <w:r>
        <w:t xml:space="preserve"> </w:t>
      </w:r>
      <w:r>
        <w:t xml:space="preserve">Gaps (1)</w:t>
      </w:r>
      <w:r>
        <w:t xml:space="preserve"> </w:t>
      </w:r>
      <w:r>
        <w:t xml:space="preserve">and (2) in §8 exist solely because the candidate may not execute on the</w:t>
      </w:r>
      <w:r>
        <w:t xml:space="preserve"> </w:t>
      </w:r>
      <w:r>
        <w:t xml:space="preserve">production environment — so they cannot be closed before an approval, only by one.</w:t>
      </w:r>
      <w:r>
        <w:t xml:space="preserve"> </w:t>
      </w:r>
      <w:r>
        <w:t xml:space="preserve">A time-boxed SROIE run is a much narrower request than a deployment: one</w:t>
      </w:r>
      <w:r>
        <w:t xml:space="preserve"> </w:t>
      </w:r>
      <w:r>
        <w:t xml:space="preserve">configuration change, roughly four minutes of inference, read-only against a</w:t>
      </w:r>
      <w:r>
        <w:t xml:space="preserve"> </w:t>
      </w:r>
      <w:r>
        <w:t xml:space="preserve">public dataset, no production data touched, and no change to the serving path.</w:t>
      </w:r>
      <w:r>
        <w:t xml:space="preserve"> </w:t>
      </w:r>
      <w:r>
        <w:t xml:space="preserve">It would produce a like-for-like production figure for the candidate against</w:t>
      </w:r>
      <w:r>
        <w:t xml:space="preserve"> </w:t>
      </w:r>
      <w:r>
        <w:t xml:space="preserve">the incumbent result in §2, which is the single largest improvement available</w:t>
      </w:r>
      <w:r>
        <w:t xml:space="preserve"> </w:t>
      </w:r>
      <w:r>
        <w:t xml:space="preserve">to this evidence base.</w:t>
      </w:r>
    </w:p>
    <w:p>
      <w:pPr>
        <w:pStyle w:val="Compact"/>
        <w:numPr>
          <w:ilvl w:val="0"/>
          <w:numId w:val="1006"/>
        </w:numPr>
      </w:pPr>
      <w:r>
        <w:t xml:space="preserve">Keep the incumbent deployable for rollback throughout the trial.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Measure both models on a sample of genuinely photographed documents of our</w:t>
      </w:r>
      <w:r>
        <w:rPr>
          <w:b/>
          <w:bCs/>
        </w:rPr>
        <w:t xml:space="preserve"> </w:t>
      </w:r>
      <w:r>
        <w:rPr>
          <w:b/>
          <w:bCs/>
        </w:rPr>
        <w:t xml:space="preserve">own types before any unsupervised cutover.</w:t>
      </w:r>
      <w:r>
        <w:t xml:space="preserve"> </w:t>
      </w:r>
      <w:r>
        <w:t xml:space="preserve">This is gap (3) and it is the</w:t>
      </w:r>
      <w:r>
        <w:t xml:space="preserve"> </w:t>
      </w:r>
      <w:r>
        <w:t xml:space="preserve">condition that matters most: the candidate's accuracy advantage is established</w:t>
      </w:r>
      <w:r>
        <w:t xml:space="preserve"> </w:t>
      </w:r>
      <w:r>
        <w:t xml:space="preserve">on rendered documents with simulated degradation, while the incumbent's</w:t>
      </w:r>
      <w:r>
        <w:t xml:space="preserve"> </w:t>
      </w:r>
      <w:r>
        <w:t xml:space="preserve">advantage is established on real photographs of somebody else's. If live input</w:t>
      </w:r>
      <w:r>
        <w:t xml:space="preserve"> </w:t>
      </w:r>
      <w:r>
        <w:t xml:space="preserve">is photographed rather than system-generated, the evidence currently favouring</w:t>
      </w:r>
      <w:r>
        <w:t xml:space="preserve"> </w:t>
      </w:r>
      <w:r>
        <w:t xml:space="preserve">the candidate may not transfer. A few hundred labelled real documents would</w:t>
      </w:r>
      <w:r>
        <w:t xml:space="preserve"> </w:t>
      </w:r>
      <w:r>
        <w:t xml:space="preserve">settle it and would be worth more than any further synthetic work.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2026-08-16T23:11:20Z</dcterms:created>
  <dcterms:modified xsi:type="dcterms:W3CDTF">2026-08-16T23:11:20Z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