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sroie-benchmark-why-we-report-two-scores"/>
    <w:p>
      <w:pPr>
        <w:pStyle w:val="Heading1"/>
      </w:pPr>
      <w:r>
        <w:t xml:space="preserve">SROIE benchmark: why we report two scores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ICDAR 2019 SROIE Task 3, 347-image test split —</w:t>
      </w:r>
      <w:r>
        <w:t xml:space="preserve"> </w:t>
      </w:r>
      <w:r>
        <w:rPr>
          <w:b/>
          <w:bCs/>
        </w:rPr>
        <w:t xml:space="preserve">genuinely</w:t>
      </w:r>
      <w:r>
        <w:rPr>
          <w:b/>
          <w:bCs/>
        </w:rPr>
        <w:t xml:space="preserve"> </w:t>
      </w:r>
      <w:r>
        <w:rPr>
          <w:b/>
          <w:bCs/>
        </w:rPr>
        <w:t xml:space="preserve">photographed and scanned</w:t>
      </w:r>
      <w:r>
        <w:t xml:space="preserve"> </w:t>
      </w:r>
      <w:r>
        <w:t xml:space="preserve">Malaysian retail receipts, not rendered. Four fields</w:t>
      </w:r>
      <w:r>
        <w:t xml:space="preserve"> </w:t>
      </w:r>
      <w:r>
        <w:t xml:space="preserve">per receipt: company, date, address, total.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InternVL3.5-8B via vLLM, data-parallel across 4 GPUs.</w:t>
      </w:r>
    </w:p>
    <w:p>
      <w:pPr>
        <w:pStyle w:val="BodyText"/>
      </w:pPr>
      <w:r>
        <w:rPr>
          <w:b/>
          <w:bCs/>
        </w:rPr>
        <w:t xml:space="preserve">Run:</w:t>
      </w:r>
      <w:r>
        <w:t xml:space="preserve"> </w:t>
      </w:r>
      <w:r>
        <w:t xml:space="preserve">production machine, 2026-08-15, full split, no images skipped.</w:t>
      </w:r>
    </w:p>
    <w:p>
      <w:pPr>
        <w:pStyle w:val="BodyText"/>
      </w:pPr>
      <w:r>
        <w:t xml:space="preserve">Every run reports the same result under</w:t>
      </w:r>
      <w:r>
        <w:t xml:space="preserve"> </w:t>
      </w:r>
      <w:r>
        <w:rPr>
          <w:b/>
          <w:bCs/>
        </w:rPr>
        <w:t xml:space="preserve">two match policies</w:t>
      </w:r>
      <w:r>
        <w:t xml:space="preserve">. They answer</w:t>
      </w:r>
      <w:r>
        <w:t xml:space="preserve"> </w:t>
      </w:r>
      <w:r>
        <w:t xml:space="preserve">different questions, and the gap between them is diagnostic.</w:t>
      </w:r>
    </w:p>
    <w:p>
      <w:r>
        <w:pict>
          <v:rect style="width:0;height:1.5pt" o:hralign="center" o:hrstd="t" o:hr="t"/>
        </w:pict>
      </w:r>
    </w:p>
    <w:bookmarkStart w:id="9" w:name="headline"/>
    <w:p>
      <w:pPr>
        <w:pStyle w:val="Heading2"/>
      </w:pPr>
      <w:r>
        <w:t xml:space="preserve">Headline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lenient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two-policies"/>
    <w:p>
      <w:pPr>
        <w:pStyle w:val="Heading2"/>
      </w:pPr>
      <w:r>
        <w:t xml:space="preserve">The two policies</w:t>
      </w:r>
    </w:p>
    <w:p>
      <w:pPr>
        <w:pStyle w:val="FirstParagraph"/>
      </w:pPr>
      <w:r>
        <w:rPr>
          <w:b/>
          <w:bCs/>
        </w:rPr>
        <w:t xml:space="preserve">Strict</w:t>
      </w:r>
      <w:r>
        <w:t xml:space="preserve"> </w:t>
      </w:r>
      <w:r>
        <w:t xml:space="preserve">— the official ICDAR SROIE protocol. The extracted string must equal</w:t>
      </w:r>
      <w:r>
        <w:t xml:space="preserve"> </w:t>
      </w:r>
      <w:r>
        <w:t xml:space="preserve">the answer key. Only capitalisation and repeated whitespace are forgiven. This</w:t>
      </w:r>
      <w:r>
        <w:t xml:space="preserve"> </w:t>
      </w:r>
      <w:r>
        <w:t xml:space="preserve">is the basis on which published SROIE leaderboard figures are quoted.</w:t>
      </w:r>
    </w:p>
    <w:p>
      <w:pPr>
        <w:pStyle w:val="BodyText"/>
      </w:pPr>
      <w:r>
        <w:rPr>
          <w:b/>
          <w:bCs/>
        </w:rPr>
        <w:t xml:space="preserve">Lenient</w:t>
      </w:r>
      <w:r>
        <w:t xml:space="preserve"> </w:t>
      </w:r>
      <w:r>
        <w:t xml:space="preserve">— did the model read the receipt. Dates are compared as calendar</w:t>
      </w:r>
      <w:r>
        <w:t xml:space="preserve"> </w:t>
      </w:r>
      <w:r>
        <w:t xml:space="preserve">dates, totals as decimal amounts, and text ignores punctuation.</w:t>
      </w:r>
    </w:p>
    <w:p>
      <w:pPr>
        <w:pStyle w:val="BodyText"/>
      </w:pPr>
      <w:r>
        <w:t xml:space="preserve">A genuinely wrong date, amount or business name fails both.</w:t>
      </w:r>
    </w:p>
    <w:bookmarkEnd w:id="10"/>
    <w:bookmarkStart w:id="11" w:name="what-separates-them"/>
    <w:p>
      <w:pPr>
        <w:pStyle w:val="Heading2"/>
      </w:pPr>
      <w:r>
        <w:t xml:space="preserve">What separates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 key</w:t>
            </w:r>
          </w:p>
        </w:tc>
        <w:tc>
          <w:tcPr/>
          <w:p>
            <w:pPr>
              <w:pStyle w:val="Compact"/>
            </w:pPr>
            <w:r>
              <w:t xml:space="preserve">model output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lenient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12-01-19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12/01/2019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RM8.20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same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27, JALAN DEDAP 13, JOHOR.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27,JALAN DEDAP 13, JOHOR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same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MR. D. I. 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MR. D.I.Y.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same business</w:t>
            </w:r>
          </w:p>
        </w:tc>
      </w:tr>
    </w:tbl>
    <w:bookmarkEnd w:id="11"/>
    <w:bookmarkStart w:id="12" w:name="why-both-are-published"/>
    <w:p>
      <w:pPr>
        <w:pStyle w:val="Heading2"/>
      </w:pPr>
      <w:r>
        <w:t xml:space="preserve">Why both are published</w:t>
      </w:r>
    </w:p>
    <w:p>
      <w:pPr>
        <w:pStyle w:val="FirstParagraph"/>
      </w:pPr>
      <w:r>
        <w:t xml:space="preserve">Reporting only strict understates what the model read; reporting only lenient</w:t>
      </w:r>
      <w:r>
        <w:t xml:space="preserve"> </w:t>
      </w:r>
      <w:r>
        <w:t xml:space="preserve">hides formatting problems that matter when the output feeds a downstream system</w:t>
      </w:r>
      <w:r>
        <w:t xml:space="preserve"> </w:t>
      </w:r>
      <w:r>
        <w:t xml:space="preserve">expecting a fixed format.</w:t>
      </w:r>
    </w:p>
    <w:p>
      <w:pPr>
        <w:pStyle w:val="BodyText"/>
      </w:pPr>
      <w:r>
        <w:rPr>
          <w:b/>
          <w:bCs/>
        </w:rPr>
        <w:t xml:space="preserve">The gap per field identifies the failure type</w:t>
      </w:r>
      <w:r>
        <w:t xml:space="preserve">, which a single number cannot: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lenient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what the gap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0.9337</w:t>
            </w:r>
          </w:p>
        </w:tc>
        <w:tc>
          <w:tcPr/>
          <w:p>
            <w:pPr>
              <w:pStyle w:val="Compact"/>
            </w:pPr>
            <w:r>
              <w:t xml:space="preserve">0.9366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almost no formatting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0.8559</w:t>
            </w:r>
          </w:p>
        </w:tc>
        <w:tc>
          <w:tcPr/>
          <w:p>
            <w:pPr>
              <w:pStyle w:val="Compact"/>
            </w:pPr>
            <w:r>
              <w:t xml:space="preserve">0.8905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mostly genuine misreads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0.5879</w:t>
            </w:r>
          </w:p>
        </w:tc>
        <w:tc>
          <w:tcPr/>
          <w:p>
            <w:pPr>
              <w:pStyle w:val="Compact"/>
            </w:pPr>
            <w:r>
              <w:t xml:space="preserve">0.7637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mostly punctuation and spacing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0.7723</w:t>
            </w:r>
          </w:p>
        </w:tc>
        <w:tc>
          <w:tcPr/>
          <w:p>
            <w:pPr>
              <w:pStyle w:val="Compact"/>
            </w:pPr>
            <w:r>
              <w:t xml:space="preserve">0.9597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mostly currency symbols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total</w:t>
      </w:r>
      <w:r>
        <w:t xml:space="preserve"> </w:t>
      </w:r>
      <w:r>
        <w:t xml:space="preserve">is the clearest example:</w:t>
      </w:r>
      <w:r>
        <w:t xml:space="preserve"> </w:t>
      </w:r>
      <w:r>
        <w:rPr>
          <w:b/>
          <w:bCs/>
        </w:rPr>
        <w:t xml:space="preserve">96% of amounts are read correctly</w:t>
      </w:r>
      <w:r>
        <w:t xml:space="preserve">, but many</w:t>
      </w:r>
      <w:r>
        <w:t xml:space="preserve"> </w:t>
      </w:r>
      <w:r>
        <w:t xml:space="preserve">are written with a currency prefix the answer key omits. Under the official</w:t>
      </w:r>
      <w:r>
        <w:t xml:space="preserve"> </w:t>
      </w:r>
      <w:r>
        <w:t xml:space="preserve">protocol that same performance scores 0.77.</w:t>
      </w:r>
    </w:p>
    <w:p>
      <w:pPr>
        <w:pStyle w:val="BodyText"/>
      </w:pPr>
      <w:r>
        <w:t xml:space="preserve">Read the two extremes together.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have the largest gaps, so</w:t>
      </w:r>
      <w:r>
        <w:t xml:space="preserve"> </w:t>
      </w:r>
      <w:r>
        <w:t xml:space="preserve">most of what they lose under the strict protocol is convention rather than</w:t>
      </w:r>
      <w:r>
        <w:t xml:space="preserve"> </w:t>
      </w:r>
      <w:r>
        <w:t xml:space="preserve">comprehension.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have almost no gap, so their errors are</w:t>
      </w:r>
      <w:r>
        <w:t xml:space="preserve"> </w:t>
      </w:r>
      <w:r>
        <w:t xml:space="preserve">genuine misreads — which makes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the field that best reflects model</w:t>
      </w:r>
      <w:r>
        <w:t xml:space="preserve"> </w:t>
      </w:r>
      <w:r>
        <w:t xml:space="preserve">capability, 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the field most easily misread as a failure when it is</w:t>
      </w:r>
      <w:r>
        <w:t xml:space="preserve"> </w:t>
      </w:r>
      <w:r>
        <w:t xml:space="preserve">partly a formatting artefact.</w:t>
      </w:r>
    </w:p>
    <w:bookmarkEnd w:id="12"/>
    <w:bookmarkStart w:id="13" w:name="full-per-field-results"/>
    <w:p>
      <w:pPr>
        <w:pStyle w:val="Heading2"/>
      </w:pPr>
      <w:r>
        <w:t xml:space="preserve">Full per-field results</w:t>
      </w:r>
    </w:p>
    <w:p>
      <w:pPr>
        <w:pStyle w:val="FirstParagraph"/>
      </w:pPr>
      <w:r>
        <w:rPr>
          <w:b/>
          <w:bCs/>
        </w:rPr>
        <w:t xml:space="preserve">Strict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0.8559</w:t>
            </w:r>
          </w:p>
        </w:tc>
        <w:tc>
          <w:tcPr/>
          <w:p>
            <w:pPr>
              <w:pStyle w:val="Compact"/>
            </w:pPr>
            <w:r>
              <w:t xml:space="preserve">0.3512</w:t>
            </w:r>
          </w:p>
        </w:tc>
        <w:tc>
          <w:tcPr/>
          <w:p>
            <w:pPr>
              <w:pStyle w:val="Compact"/>
            </w:pPr>
            <w:r>
              <w:t xml:space="preserve">0.815 – 0.889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0.9337</w:t>
            </w:r>
          </w:p>
        </w:tc>
        <w:tc>
          <w:tcPr/>
          <w:p>
            <w:pPr>
              <w:pStyle w:val="Compact"/>
            </w:pPr>
            <w:r>
              <w:t xml:space="preserve">0.2488</w:t>
            </w:r>
          </w:p>
        </w:tc>
        <w:tc>
          <w:tcPr/>
          <w:p>
            <w:pPr>
              <w:pStyle w:val="Compact"/>
            </w:pPr>
            <w:r>
              <w:t xml:space="preserve">0.903 – 0.955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0.5879</w:t>
            </w:r>
          </w:p>
        </w:tc>
        <w:tc>
          <w:tcPr/>
          <w:p>
            <w:pPr>
              <w:pStyle w:val="Compact"/>
            </w:pPr>
            <w:r>
              <w:t xml:space="preserve">0.4922</w:t>
            </w:r>
          </w:p>
        </w:tc>
        <w:tc>
          <w:tcPr/>
          <w:p>
            <w:pPr>
              <w:pStyle w:val="Compact"/>
            </w:pPr>
            <w:r>
              <w:t xml:space="preserve">0.535 – 0.638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0.7723</w:t>
            </w:r>
          </w:p>
        </w:tc>
        <w:tc>
          <w:tcPr/>
          <w:p>
            <w:pPr>
              <w:pStyle w:val="Compact"/>
            </w:pPr>
            <w:r>
              <w:t xml:space="preserve">0.4193</w:t>
            </w:r>
          </w:p>
        </w:tc>
        <w:tc>
          <w:tcPr/>
          <w:p>
            <w:pPr>
              <w:pStyle w:val="Compact"/>
            </w:pPr>
            <w:r>
              <w:t xml:space="preserve">0.725 – 0.813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Lenient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0.8905</w:t>
            </w:r>
          </w:p>
        </w:tc>
        <w:tc>
          <w:tcPr/>
          <w:p>
            <w:pPr>
              <w:pStyle w:val="Compact"/>
            </w:pPr>
            <w:r>
              <w:t xml:space="preserve">0.3123</w:t>
            </w:r>
          </w:p>
        </w:tc>
        <w:tc>
          <w:tcPr/>
          <w:p>
            <w:pPr>
              <w:pStyle w:val="Compact"/>
            </w:pPr>
            <w:r>
              <w:t xml:space="preserve">0.853 – 0.919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0.9366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0.906 – 0.958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0.7637</w:t>
            </w:r>
          </w:p>
        </w:tc>
        <w:tc>
          <w:tcPr/>
          <w:p>
            <w:pPr>
              <w:pStyle w:val="Compact"/>
            </w:pPr>
            <w:r>
              <w:t xml:space="preserve">0.4248</w:t>
            </w:r>
          </w:p>
        </w:tc>
        <w:tc>
          <w:tcPr/>
          <w:p>
            <w:pPr>
              <w:pStyle w:val="Compact"/>
            </w:pPr>
            <w:r>
              <w:t xml:space="preserve">0.716 – 0.805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0.9597</w:t>
            </w:r>
          </w:p>
        </w:tc>
        <w:tc>
          <w:tcPr/>
          <w:p>
            <w:pPr>
              <w:pStyle w:val="Compact"/>
            </w:pPr>
            <w:r>
              <w:t xml:space="preserve">0.1968</w:t>
            </w:r>
          </w:p>
        </w:tc>
        <w:tc>
          <w:tcPr/>
          <w:p>
            <w:pPr>
              <w:pStyle w:val="Compact"/>
            </w:pPr>
            <w:r>
              <w:t xml:space="preserve">0.933 – 0.976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bookmarkEnd w:id="13"/>
    <w:bookmarkStart w:id="14" w:name="reading-the-tables"/>
    <w:p>
      <w:pPr>
        <w:pStyle w:val="Heading2"/>
      </w:pPr>
      <w:r>
        <w:t xml:space="preserve">Reading the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the field's F1 across the 347 receipts.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</w:t>
      </w:r>
      <w:r>
        <w:t xml:space="preserve"> </w:t>
      </w:r>
      <w:r>
        <w:t xml:space="preserve">— spread. A SROIE field holds a single value, so each receipt scores 1</w:t>
      </w:r>
      <w:r>
        <w:t xml:space="preserve"> </w:t>
      </w:r>
      <w:r>
        <w:t xml:space="preserve">or 0 and the SD is determined by the mean; it is reported for comparability</w:t>
      </w:r>
      <w:r>
        <w:t xml:space="preserve"> </w:t>
      </w:r>
      <w:r>
        <w:t xml:space="preserve">with other teams, not as an independent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95% CI</w:t>
      </w:r>
      <w:r>
        <w:t xml:space="preserve"> </w:t>
      </w:r>
      <w:r>
        <w:t xml:space="preserve">— a Wilson interval on the proportion. This is the number to use</w:t>
      </w:r>
      <w:r>
        <w:t xml:space="preserve"> </w:t>
      </w:r>
      <w:r>
        <w:t xml:space="preserve">when deciding whether two results differ. Overlapping intervals are not</w:t>
      </w:r>
      <w:r>
        <w:t xml:space="preserve"> </w:t>
      </w:r>
      <w:r>
        <w:t xml:space="preserve">evidence of a difference.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— receipts scored for that field.</w:t>
      </w:r>
    </w:p>
    <w:bookmarkEnd w:id="14"/>
    <w:bookmarkStart w:id="15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The same commit was run on two different machines. The results agree to within</w:t>
      </w:r>
      <w:r>
        <w:t xml:space="preserve"> </w:t>
      </w:r>
      <w:r>
        <w:rPr>
          <w:b/>
          <w:bCs/>
        </w:rPr>
        <w:t xml:space="preserve">one field-document out of 1,388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0.7889</w:t>
            </w:r>
          </w:p>
        </w:tc>
        <w:tc>
          <w:tcPr/>
          <w:p>
            <w:pPr>
              <w:pStyle w:val="Compact"/>
            </w:pPr>
            <w:r>
              <w:t xml:space="preserve">0.7882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lenient</w:t>
            </w:r>
          </w:p>
        </w:tc>
        <w:tc>
          <w:tcPr/>
          <w:p>
            <w:pPr>
              <w:pStyle w:val="Compact"/>
            </w:pPr>
            <w:r>
              <w:t xml:space="preserve">0.8892</w:t>
            </w:r>
          </w:p>
        </w:tc>
        <w:tc>
          <w:tcPr/>
          <w:p>
            <w:pPr>
              <w:pStyle w:val="Compact"/>
            </w:pPr>
            <w:r>
              <w:t xml:space="preserve">0.8885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</w:tbl>
    <w:p>
      <w:pPr>
        <w:pStyle w:val="BodyText"/>
      </w:pPr>
      <w:r>
        <w:t xml:space="preserve">That delta is not approximately zero — it is exactly one flipped receipt-field</w:t>
      </w:r>
      <w:r>
        <w:t xml:space="preserve"> </w:t>
      </w:r>
      <w:r>
        <w:t xml:space="preserve">(1 / (4 × 347) = 0.00072). Three individual field-documents changed and netted</w:t>
      </w:r>
      <w:r>
        <w:t xml:space="preserve"> </w:t>
      </w:r>
      <w:r>
        <w:t xml:space="preserve">−1: strict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gained one,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lost two.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were</w:t>
      </w:r>
      <w:r>
        <w:t xml:space="preserve"> </w:t>
      </w:r>
      <w:r>
        <w:t xml:space="preserve">identical to four decimal places on both machines.</w:t>
      </w:r>
    </w:p>
    <w:p>
      <w:pPr>
        <w:pStyle w:val="BodyText"/>
      </w:pPr>
      <w:r>
        <w:rPr>
          <w:b/>
          <w:bCs/>
        </w:rPr>
        <w:t xml:space="preserve">Treat differences below ~0.002 on this benchmark as noise.</w:t>
      </w:r>
      <w:r>
        <w:t xml:space="preserve"> </w:t>
      </w:r>
      <w:r>
        <w:t xml:space="preserve">The scorer is</w:t>
      </w:r>
      <w:r>
        <w:t xml:space="preserve"> </w:t>
      </w:r>
      <w:r>
        <w:t xml:space="preserve">deterministic — the same extractions always produce the same numbers — but</w:t>
      </w:r>
      <w:r>
        <w:t xml:space="preserve"> </w:t>
      </w:r>
      <w:r>
        <w:t xml:space="preserve">generation under vLLM is not perfectly reproducible on the InternVL pre-tiling</w:t>
      </w:r>
      <w:r>
        <w:t xml:space="preserve"> </w:t>
      </w:r>
      <w:r>
        <w:t xml:space="preserve">path. A comparison is only meaningful if both sides were scored by the same</w:t>
      </w:r>
      <w:r>
        <w:t xml:space="preserve"> </w:t>
      </w:r>
      <w:r>
        <w:t xml:space="preserve">version of the scorer AND the difference exceeds that floor.</w:t>
      </w:r>
    </w:p>
    <w:bookmarkEnd w:id="15"/>
    <w:bookmarkStart w:id="16" w:name="caveats-worth-stating-up-front"/>
    <w:p>
      <w:pPr>
        <w:pStyle w:val="Heading2"/>
      </w:pPr>
      <w:r>
        <w:t xml:space="preserve">Caveats worth stating up front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answer key contains errors.</w:t>
      </w:r>
      <w:r>
        <w:t xml:space="preserve"> </w:t>
      </w:r>
      <w:r>
        <w:t xml:space="preserve">Some entries are wrong (</w:t>
      </w:r>
      <w:r>
        <w:rPr>
          <w:rStyle w:val="VerbatimChar"/>
        </w:rPr>
        <w:t xml:space="preserve">BELANGOR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SELANGOR</w:t>
      </w:r>
      <w:r>
        <w:t xml:space="preserve">), and the same business is spelled differently on different</w:t>
      </w:r>
      <w:r>
        <w:t xml:space="preserve"> </w:t>
      </w:r>
      <w:r>
        <w:t xml:space="preserve">receipts (</w:t>
      </w:r>
      <w:r>
        <w:rPr>
          <w:rStyle w:val="VerbatimChar"/>
        </w:rPr>
        <w:t xml:space="preserve">TED HENG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TEO HENG</w:t>
      </w:r>
      <w:r>
        <w:t xml:space="preserve">). This caps the achievable score for any</w:t>
      </w:r>
      <w:r>
        <w:t xml:space="preserve"> </w:t>
      </w:r>
      <w:r>
        <w:t xml:space="preserve">model. We do not patch it: patching would break comparability with published</w:t>
      </w:r>
      <w:r>
        <w:t xml:space="preserve"> </w:t>
      </w:r>
      <w:r>
        <w:t xml:space="preserve">leaderboard figures, which is the only reason to run SROIE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Some fields are ambiguous by nature.</w:t>
      </w:r>
      <w:r>
        <w:t xml:space="preserve"> </w:t>
      </w:r>
      <w:r>
        <w:t xml:space="preserve">A Malaysian receipt prints both a</w:t>
      </w:r>
      <w:r>
        <w:t xml:space="preserve"> </w:t>
      </w:r>
      <w:r>
        <w:t xml:space="preserve">brand and a registered entity, often with a company registration number. The</w:t>
      </w:r>
      <w:r>
        <w:t xml:space="preserve"> </w:t>
      </w:r>
      <w:r>
        <w:t xml:space="preserve">prompt asks for the registered name without the registration number; other</w:t>
      </w:r>
      <w:r>
        <w:t xml:space="preserve"> </w:t>
      </w:r>
      <w:r>
        <w:t xml:space="preserve">reasonable conventions would score differently.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ground truth is external.</w:t>
      </w:r>
      <w:r>
        <w:t xml:space="preserve"> </w:t>
      </w:r>
      <w:r>
        <w:t xml:space="preserve">It ships with the ICDAR archive and is read</w:t>
      </w:r>
      <w:r>
        <w:t xml:space="preserve"> </w:t>
      </w:r>
      <w:r>
        <w:t xml:space="preserve">verbatim — nothing here generates, derives or repairs it. Values are compared</w:t>
      </w:r>
      <w:r>
        <w:t xml:space="preserve"> </w:t>
      </w:r>
      <w:r>
        <w:t xml:space="preserve">only after both sides pass through the same canonicalisation, which is what</w:t>
      </w:r>
      <w:r>
        <w:t xml:space="preserve"> </w:t>
      </w:r>
      <w:r>
        <w:t xml:space="preserve">makes strict and lenient a meaningful pair rather than two arbitrary numbers.</w:t>
      </w:r>
    </w:p>
    <w:p>
      <w:r>
        <w:pict>
          <v:rect style="width:0;height:1.5pt" o:hralign="center" o:hrstd="t" o:hr="t"/>
        </w:pict>
      </w:r>
    </w:p>
    <w:bookmarkEnd w:id="16"/>
    <w:bookmarkStart w:id="17" w:name="Xe3505891e6300a2a45917ed89bf2f4a1afeddaa"/>
    <w:p>
      <w:pPr>
        <w:pStyle w:val="Heading2"/>
      </w:pPr>
      <w:r>
        <w:t xml:space="preserve">Why these numbers look worse than our synthetic figures</w:t>
      </w:r>
    </w:p>
    <w:p>
      <w:pPr>
        <w:pStyle w:val="FirstParagraph"/>
      </w:pPr>
      <w:r>
        <w:t xml:space="preserve">If you have also seen our internal figures — around 0.95 on a 165-document</w:t>
      </w:r>
      <w:r>
        <w:t xml:space="preserve"> </w:t>
      </w:r>
      <w:r>
        <w:t xml:space="preserve">synthetic corpus — the gap is not a contradiction.</w:t>
      </w:r>
      <w:r>
        <w:t xml:space="preserve"> </w:t>
      </w:r>
      <w:r>
        <w:rPr>
          <w:b/>
          <w:bCs/>
        </w:rPr>
        <w:t xml:space="preserve">The two corpora differ in</w:t>
      </w:r>
      <w:r>
        <w:rPr>
          <w:b/>
          <w:bCs/>
        </w:rPr>
        <w:t xml:space="preserve"> </w:t>
      </w:r>
      <w:r>
        <w:rPr>
          <w:b/>
          <w:bCs/>
        </w:rPr>
        <w:t xml:space="preserve">how the images were produced, and that difference is the single biggest driver</w:t>
      </w:r>
      <w:r>
        <w:rPr>
          <w:b/>
          <w:bCs/>
        </w:rPr>
        <w:t xml:space="preserve"> </w:t>
      </w:r>
      <w:r>
        <w:rPr>
          <w:b/>
          <w:bCs/>
        </w:rPr>
        <w:t xml:space="preserve">of the numbers.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SROIE</w:t>
            </w:r>
          </w:p>
        </w:tc>
        <w:tc>
          <w:tcPr/>
          <w:p>
            <w:pPr>
              <w:pStyle w:val="Compact"/>
            </w:pPr>
            <w:r>
              <w:t xml:space="preserve">our synthetic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genuinely photographed and scanned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from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</w:t>
            </w:r>
          </w:p>
        </w:tc>
        <w:tc>
          <w:tcPr/>
          <w:p>
            <w:pPr>
              <w:pStyle w:val="Compact"/>
            </w:pPr>
            <w:r>
              <w:t xml:space="preserve">real, uncontrolled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simulated</w:t>
            </w:r>
            <w:r>
              <w:t xml:space="preserve"> </w:t>
            </w:r>
            <w:r>
              <w:t xml:space="preserve">— a transform stack applied to a clean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</w:tbl>
    <w:p>
      <w:pPr>
        <w:pStyle w:val="BodyText"/>
      </w:pPr>
      <w:r>
        <w:t xml:space="preserve">Our synthetic corpus includes deliberately degraded variants, but those are a</w:t>
      </w:r>
      <w:r>
        <w:t xml:space="preserve"> </w:t>
      </w:r>
      <w:r>
        <w:t xml:space="preserve">clean render with a parametrised transform stack applied — ink bleed, a lighting</w:t>
      </w:r>
      <w:r>
        <w:t xml:space="preserve"> </w:t>
      </w:r>
      <w:r>
        <w:t xml:space="preserve">gradient, a cast shadow, a fold, geometric warp, Gaussian blur and JPEG</w:t>
      </w:r>
      <w:r>
        <w:t xml:space="preserve"> </w:t>
      </w:r>
      <w:r>
        <w:t xml:space="preserve">compression, at three severities. It is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of capture noise, calibrated</w:t>
      </w:r>
      <w:r>
        <w:t xml:space="preserve"> </w:t>
      </w:r>
      <w:r>
        <w:t xml:space="preserve">for human legibility rather than derived from photographs.</w:t>
      </w:r>
    </w:p>
    <w:p>
      <w:pPr>
        <w:pStyle w:val="BodyText"/>
      </w:pPr>
      <w:r>
        <w:t xml:space="preserve">It does not reproduce much of what actually degrades a photographed receipt:</w:t>
      </w:r>
      <w:r>
        <w:t xml:space="preserve"> </w:t>
      </w:r>
      <w:r>
        <w:t xml:space="preserve">specular glare, partial occlusion by fingers, motion blur, some regions out of</w:t>
      </w:r>
      <w:r>
        <w:t xml:space="preserve"> </w:t>
      </w:r>
      <w:r>
        <w:t xml:space="preserve">focus while others are sharp, sensor noise in low light, faded thermal paper, and</w:t>
      </w:r>
      <w:r>
        <w:t xml:space="preserve"> </w:t>
      </w:r>
      <w:r>
        <w:t xml:space="preserve">the print quality of thermal and dot-matrix tills.</w:t>
      </w:r>
    </w:p>
    <w:p>
      <w:pPr>
        <w:pStyle w:val="BodyText"/>
      </w:pPr>
      <w:r>
        <w:rPr>
          <w:b/>
          <w:bCs/>
        </w:rPr>
        <w:t xml:space="preserve">Practical consequence: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photographed or scanned input</w:t>
      </w:r>
      <w:r>
        <w:t xml:space="preserve">, SROIE is the better guide. It is the</w:t>
      </w:r>
      <w:r>
        <w:t xml:space="preserve"> </w:t>
      </w:r>
      <w:r>
        <w:t xml:space="preserve">only genuinely photographed evidence we have.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system-generated documents</w:t>
      </w:r>
      <w:r>
        <w:t xml:space="preserve"> </w:t>
      </w:r>
      <w:r>
        <w:t xml:space="preserve">(PDFs, rendered statements and invoices),</w:t>
      </w:r>
      <w:r>
        <w:t xml:space="preserve"> </w:t>
      </w:r>
      <w:r>
        <w:t xml:space="preserve">the synthetic figures are the better guide.</w:t>
      </w:r>
    </w:p>
    <w:p>
      <w:pPr>
        <w:pStyle w:val="Compact"/>
        <w:numPr>
          <w:ilvl w:val="0"/>
          <w:numId w:val="1003"/>
        </w:numPr>
      </w:pPr>
      <w:r>
        <w:t xml:space="preserve">A robustness result measured on simulated degradation establishes robustness</w:t>
      </w:r>
      <w:r>
        <w:t xml:space="preserve"> </w:t>
      </w:r>
      <w:r>
        <w:rPr>
          <w:b/>
          <w:bCs/>
        </w:rPr>
        <w:t xml:space="preserve">to those transforms</w:t>
      </w:r>
      <w:r>
        <w:t xml:space="preserve">, not to real-world capture. Quote it as such.</w:t>
      </w:r>
    </w:p>
    <w:p>
      <w:pPr>
        <w:pStyle w:val="FirstParagraph"/>
      </w:pPr>
      <w:r>
        <w:t xml:space="preserve">Neither corpus is a substitute for the other, and neither is our live document</w:t>
      </w:r>
      <w:r>
        <w:t xml:space="preserve"> </w:t>
      </w:r>
      <w:r>
        <w:t xml:space="preserve">mix. Treat both as bounds rather than predictions.</w:t>
      </w:r>
    </w:p>
    <w:bookmarkEnd w:id="17"/>
    <w:bookmarkStart w:id="18" w:name="throughput-figures"/>
    <w:p>
      <w:pPr>
        <w:pStyle w:val="Heading2"/>
      </w:pPr>
      <w:r>
        <w:t xml:space="preserve">Throughput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processed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time</w:t>
            </w:r>
          </w:p>
        </w:tc>
        <w:tc>
          <w:tcPr/>
          <w:p>
            <w:pPr>
              <w:pStyle w:val="Compact"/>
            </w:pPr>
            <w:r>
              <w:t xml:space="preserve">119.9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173.67 images/min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</w:t>
            </w:r>
          </w:p>
        </w:tc>
        <w:tc>
          <w:tcPr/>
          <w:p>
            <w:pPr>
              <w:pStyle w:val="Compact"/>
            </w:pPr>
            <w:r>
              <w:t xml:space="preserve">data-parallel (4 GPUs)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startup</w:t>
            </w:r>
          </w:p>
        </w:tc>
        <w:tc>
          <w:tcPr/>
          <w:p>
            <w:pPr>
              <w:pStyle w:val="Compact"/>
            </w:pPr>
            <w:r>
              <w:t xml:space="preserve">137.8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wall clock</w:t>
            </w:r>
          </w:p>
        </w:tc>
        <w:tc>
          <w:tcPr/>
          <w:p>
            <w:pPr>
              <w:pStyle w:val="Compact"/>
            </w:pPr>
            <w:r>
              <w:t xml:space="preserve">257.7 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Inference Time</w:t>
      </w:r>
      <w:r>
        <w:t xml:space="preserve"> </w:t>
      </w:r>
      <w:r>
        <w:t xml:space="preserve">counts model inference only. Engine startup is reported</w:t>
      </w:r>
      <w:r>
        <w:t xml:space="preserve"> </w:t>
      </w:r>
      <w:r>
        <w:t xml:space="preserve">separately, and</w:t>
      </w:r>
      <w:r>
        <w:t xml:space="preserve"> </w:t>
      </w:r>
      <w:r>
        <w:rPr>
          <w:rStyle w:val="VerbatimChar"/>
        </w:rPr>
        <w:t xml:space="preserve">Total Wall Clock</w:t>
      </w:r>
      <w:r>
        <w:t xml:space="preserve"> </w:t>
      </w:r>
      <w:r>
        <w:t xml:space="preserve">is the sum. Under data-parallel execution the</w:t>
      </w:r>
      <w:r>
        <w:t xml:space="preserve"> </w:t>
      </w:r>
      <w:r>
        <w:t xml:space="preserve">inference figure is the slowest worker's total, not the sum across workers,</w:t>
      </w:r>
      <w:r>
        <w:t xml:space="preserve"> </w:t>
      </w:r>
      <w:r>
        <w:t xml:space="preserve">which would report total compute rather than elapsed time.</w:t>
      </w:r>
    </w:p>
    <w:p>
      <w:pPr>
        <w:pStyle w:val="BodyText"/>
      </w:pPr>
      <w:r>
        <w:rPr>
          <w:b/>
          <w:bCs/>
        </w:rPr>
        <w:t xml:space="preserve">Engine startup exceeded inference time on this run</w:t>
      </w:r>
      <w:r>
        <w:t xml:space="preserve"> </w:t>
      </w:r>
      <w:r>
        <w:t xml:space="preserve">(137.8 s against 119.9 s).</w:t>
      </w:r>
      <w:r>
        <w:t xml:space="preserve"> </w:t>
      </w:r>
      <w:r>
        <w:t xml:space="preserve">The 173.67 images/min figure is the inference-only rate across all four GPUs and</w:t>
      </w:r>
      <w:r>
        <w:t xml:space="preserve"> </w:t>
      </w:r>
      <w:r>
        <w:t xml:space="preserve">is the right number for capacity planning on a sustained workload, where that</w:t>
      </w:r>
      <w:r>
        <w:t xml:space="preserve"> </w:t>
      </w:r>
      <w:r>
        <w:t xml:space="preserve">fixed 138 s is amortised. It is the wrong number for a short job, which never</w:t>
      </w:r>
      <w:r>
        <w:t xml:space="preserve"> </w:t>
      </w:r>
      <w:r>
        <w:t xml:space="preserve">recovers the load cost.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2026-08-16T23:15:27Z</dcterms:created>
  <dcterms:modified xsi:type="dcterms:W3CDTF">2026-08-16T23:15:27Z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