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sdt>
      <w:sdtPr>
        <w:rPr>
          <w:rFonts w:asciiTheme="minorHAnsi" w:eastAsiaTheme="minorEastAsia" w:hAnsiTheme="minorHAnsi" w:cstheme="minorBidi"/>
          <w:color w:val="auto"/>
          <w:sz w:val="24"/>
          <w:szCs w:val="24"/>
        </w:rPr>
        <w:id w:val="-738864872"/>
        <w:docPartObj>
          <w:docPartGallery w:val="Table of Contents"/>
          <w:docPartUnique/>
        </w:docPartObj>
      </w:sdtPr>
      <w:sdtContent>
        <w:p w14:paraId="2DFFADF6" w14:textId="77777777" w:rsidR="00E12BB1" w:rsidRDefault="00000000">
          <w:pPr>
            <w:pStyle w:val="TOCHeading"/>
          </w:pPr>
          <w:r>
            <w:t>Table of Contents</w:t>
          </w:r>
        </w:p>
        <w:p w14:paraId="44C186C4" w14:textId="77777777" w:rsidR="009E63B8" w:rsidRDefault="00000000">
          <w:pPr>
            <w:pStyle w:val="TOC1"/>
            <w:tabs>
              <w:tab w:val="right" w:leader="dot" w:pos="9350"/>
            </w:tabs>
            <w:rPr>
              <w:noProof/>
            </w:rPr>
          </w:pPr>
          <w:r>
            <w:fldChar w:fldCharType="begin"/>
          </w:r>
          <w:r>
            <w:instrText>TOC \o "1-2" \h \z \u</w:instrText>
          </w:r>
          <w:r>
            <w:fldChar w:fldCharType="separate"/>
          </w:r>
          <w:hyperlink w:anchor="_Toc237850583" w:history="1">
            <w:r w:rsidR="009E63B8" w:rsidRPr="008D1A66">
              <w:rPr>
                <w:rStyle w:val="Hyperlink"/>
                <w:noProof/>
              </w:rPr>
              <w:t>The 165-image evaluation: how to read the numbers</w:t>
            </w:r>
            <w:r w:rsidR="009E63B8">
              <w:rPr>
                <w:noProof/>
                <w:webHidden/>
              </w:rPr>
              <w:tab/>
            </w:r>
            <w:r w:rsidR="009E63B8">
              <w:rPr>
                <w:noProof/>
                <w:webHidden/>
              </w:rPr>
              <w:fldChar w:fldCharType="begin"/>
            </w:r>
            <w:r w:rsidR="009E63B8">
              <w:rPr>
                <w:noProof/>
                <w:webHidden/>
              </w:rPr>
              <w:instrText xml:space="preserve"> PAGEREF _Toc237850583 \h </w:instrText>
            </w:r>
            <w:r w:rsidR="009E63B8">
              <w:rPr>
                <w:noProof/>
                <w:webHidden/>
              </w:rPr>
            </w:r>
            <w:r w:rsidR="009E63B8">
              <w:rPr>
                <w:noProof/>
                <w:webHidden/>
              </w:rPr>
              <w:fldChar w:fldCharType="separate"/>
            </w:r>
            <w:r w:rsidR="009E63B8">
              <w:rPr>
                <w:noProof/>
                <w:webHidden/>
              </w:rPr>
              <w:t>1</w:t>
            </w:r>
            <w:r w:rsidR="009E63B8">
              <w:rPr>
                <w:noProof/>
                <w:webHidden/>
              </w:rPr>
              <w:fldChar w:fldCharType="end"/>
            </w:r>
          </w:hyperlink>
        </w:p>
        <w:p w14:paraId="4F5BE338" w14:textId="77777777" w:rsidR="009E63B8" w:rsidRDefault="009E63B8">
          <w:pPr>
            <w:pStyle w:val="TOC2"/>
            <w:tabs>
              <w:tab w:val="right" w:leader="dot" w:pos="9350"/>
            </w:tabs>
            <w:rPr>
              <w:noProof/>
            </w:rPr>
          </w:pPr>
          <w:hyperlink w:anchor="_Toc237850584" w:history="1">
            <w:r w:rsidRPr="008D1A66">
              <w:rPr>
                <w:rStyle w:val="Hyperlink"/>
                <w:noProof/>
              </w:rPr>
              <w:t>Results (both models, current scorer)</w:t>
            </w:r>
            <w:r>
              <w:rPr>
                <w:noProof/>
                <w:webHidden/>
              </w:rPr>
              <w:tab/>
            </w:r>
            <w:r>
              <w:rPr>
                <w:noProof/>
                <w:webHidden/>
              </w:rPr>
              <w:fldChar w:fldCharType="begin"/>
            </w:r>
            <w:r>
              <w:rPr>
                <w:noProof/>
                <w:webHidden/>
              </w:rPr>
              <w:instrText xml:space="preserve"> PAGEREF _Toc237850584 \h </w:instrText>
            </w:r>
            <w:r>
              <w:rPr>
                <w:noProof/>
                <w:webHidden/>
              </w:rPr>
            </w:r>
            <w:r>
              <w:rPr>
                <w:noProof/>
                <w:webHidden/>
              </w:rPr>
              <w:fldChar w:fldCharType="separate"/>
            </w:r>
            <w:r>
              <w:rPr>
                <w:noProof/>
                <w:webHidden/>
              </w:rPr>
              <w:t>1</w:t>
            </w:r>
            <w:r>
              <w:rPr>
                <w:noProof/>
                <w:webHidden/>
              </w:rPr>
              <w:fldChar w:fldCharType="end"/>
            </w:r>
          </w:hyperlink>
        </w:p>
        <w:p w14:paraId="1328C944" w14:textId="77777777" w:rsidR="009E63B8" w:rsidRDefault="009E63B8">
          <w:pPr>
            <w:pStyle w:val="TOC2"/>
            <w:tabs>
              <w:tab w:val="right" w:leader="dot" w:pos="9350"/>
            </w:tabs>
            <w:rPr>
              <w:noProof/>
            </w:rPr>
          </w:pPr>
          <w:hyperlink w:anchor="_Toc237850585" w:history="1">
            <w:r w:rsidRPr="008D1A66">
              <w:rPr>
                <w:rStyle w:val="Hyperlink"/>
                <w:noProof/>
              </w:rPr>
              <w:t>Reading the tables</w:t>
            </w:r>
            <w:r>
              <w:rPr>
                <w:noProof/>
                <w:webHidden/>
              </w:rPr>
              <w:tab/>
            </w:r>
            <w:r>
              <w:rPr>
                <w:noProof/>
                <w:webHidden/>
              </w:rPr>
              <w:fldChar w:fldCharType="begin"/>
            </w:r>
            <w:r>
              <w:rPr>
                <w:noProof/>
                <w:webHidden/>
              </w:rPr>
              <w:instrText xml:space="preserve"> PAGEREF _Toc237850585 \h </w:instrText>
            </w:r>
            <w:r>
              <w:rPr>
                <w:noProof/>
                <w:webHidden/>
              </w:rPr>
            </w:r>
            <w:r>
              <w:rPr>
                <w:noProof/>
                <w:webHidden/>
              </w:rPr>
              <w:fldChar w:fldCharType="separate"/>
            </w:r>
            <w:r>
              <w:rPr>
                <w:noProof/>
                <w:webHidden/>
              </w:rPr>
              <w:t>1</w:t>
            </w:r>
            <w:r>
              <w:rPr>
                <w:noProof/>
                <w:webHidden/>
              </w:rPr>
              <w:fldChar w:fldCharType="end"/>
            </w:r>
          </w:hyperlink>
        </w:p>
        <w:p w14:paraId="1EBDFB17" w14:textId="77777777" w:rsidR="009E63B8" w:rsidRDefault="009E63B8">
          <w:pPr>
            <w:pStyle w:val="TOC2"/>
            <w:tabs>
              <w:tab w:val="right" w:leader="dot" w:pos="9350"/>
            </w:tabs>
            <w:rPr>
              <w:noProof/>
            </w:rPr>
          </w:pPr>
          <w:hyperlink w:anchor="_Toc237850586" w:history="1">
            <w:r w:rsidRPr="008D1A66">
              <w:rPr>
                <w:rStyle w:val="Hyperlink"/>
                <w:noProof/>
              </w:rPr>
              <w:t>Caveats to state before quoting these numbers</w:t>
            </w:r>
            <w:r>
              <w:rPr>
                <w:noProof/>
                <w:webHidden/>
              </w:rPr>
              <w:tab/>
            </w:r>
            <w:r>
              <w:rPr>
                <w:noProof/>
                <w:webHidden/>
              </w:rPr>
              <w:fldChar w:fldCharType="begin"/>
            </w:r>
            <w:r>
              <w:rPr>
                <w:noProof/>
                <w:webHidden/>
              </w:rPr>
              <w:instrText xml:space="preserve"> PAGEREF _Toc237850586 \h </w:instrText>
            </w:r>
            <w:r>
              <w:rPr>
                <w:noProof/>
                <w:webHidden/>
              </w:rPr>
            </w:r>
            <w:r>
              <w:rPr>
                <w:noProof/>
                <w:webHidden/>
              </w:rPr>
              <w:fldChar w:fldCharType="separate"/>
            </w:r>
            <w:r>
              <w:rPr>
                <w:noProof/>
                <w:webHidden/>
              </w:rPr>
              <w:t>1</w:t>
            </w:r>
            <w:r>
              <w:rPr>
                <w:noProof/>
                <w:webHidden/>
              </w:rPr>
              <w:fldChar w:fldCharType="end"/>
            </w:r>
          </w:hyperlink>
        </w:p>
        <w:p w14:paraId="79565C79" w14:textId="77777777" w:rsidR="009E63B8" w:rsidRDefault="009E63B8">
          <w:pPr>
            <w:pStyle w:val="TOC2"/>
            <w:tabs>
              <w:tab w:val="right" w:leader="dot" w:pos="9350"/>
            </w:tabs>
            <w:rPr>
              <w:noProof/>
            </w:rPr>
          </w:pPr>
          <w:hyperlink w:anchor="_Toc237850587" w:history="1">
            <w:r w:rsidRPr="008D1A66">
              <w:rPr>
                <w:rStyle w:val="Hyperlink"/>
                <w:noProof/>
              </w:rPr>
              <w:t>Throughput figures</w:t>
            </w:r>
            <w:r>
              <w:rPr>
                <w:noProof/>
                <w:webHidden/>
              </w:rPr>
              <w:tab/>
            </w:r>
            <w:r>
              <w:rPr>
                <w:noProof/>
                <w:webHidden/>
              </w:rPr>
              <w:fldChar w:fldCharType="begin"/>
            </w:r>
            <w:r>
              <w:rPr>
                <w:noProof/>
                <w:webHidden/>
              </w:rPr>
              <w:instrText xml:space="preserve"> PAGEREF _Toc237850587 \h </w:instrText>
            </w:r>
            <w:r>
              <w:rPr>
                <w:noProof/>
                <w:webHidden/>
              </w:rPr>
            </w:r>
            <w:r>
              <w:rPr>
                <w:noProof/>
                <w:webHidden/>
              </w:rPr>
              <w:fldChar w:fldCharType="separate"/>
            </w:r>
            <w:r>
              <w:rPr>
                <w:noProof/>
                <w:webHidden/>
              </w:rPr>
              <w:t>1</w:t>
            </w:r>
            <w:r>
              <w:rPr>
                <w:noProof/>
                <w:webHidden/>
              </w:rPr>
              <w:fldChar w:fldCharType="end"/>
            </w:r>
          </w:hyperlink>
        </w:p>
        <w:p w14:paraId="012673DD" w14:textId="77777777" w:rsidR="00E12BB1" w:rsidRDefault="00000000">
          <w:r>
            <w:fldChar w:fldCharType="end"/>
          </w:r>
        </w:p>
      </w:sdtContent>
    </w:sdt>
    <w:p w14:paraId="3B3799F6" w14:textId="77777777" w:rsidR="00E12BB1" w:rsidRDefault="00000000">
      <w:pPr>
        <w:pStyle w:val="Heading1"/>
      </w:pPr>
      <w:bookmarkStart w:id="0" w:name="_Toc237850583"/>
      <w:bookmarkStart w:id="1" w:name="Xb0b7aeaf1115d73ed320cf2ec25ed8d6b17fda8"/>
      <w:r>
        <w:t>The 165-image evaluation: how to read the numbers</w:t>
      </w:r>
      <w:bookmarkEnd w:id="0"/>
    </w:p>
    <w:p w14:paraId="5F1A4071" w14:textId="77777777" w:rsidR="00E12BB1" w:rsidRDefault="00000000">
      <w:pPr>
        <w:pStyle w:val="FirstParagraph"/>
      </w:pPr>
      <w:r>
        <w:rPr>
          <w:b/>
          <w:bCs/>
        </w:rPr>
        <w:t>Dataset:</w:t>
      </w:r>
      <w:r>
        <w:t xml:space="preserve"> synthetic business documents generated by Synthetic_Doc_Generation, rendered rather than scanned, with the answer key produced by the same pass that renders the images — so images and ground truth cannot drift apart.</w:t>
      </w:r>
    </w:p>
    <w:p w14:paraId="0D271EB3" w14:textId="77777777" w:rsidR="00E12BB1" w:rsidRDefault="00000000">
      <w:pPr>
        <w:pStyle w:val="BodyText"/>
      </w:pPr>
      <w:r>
        <w:rPr>
          <w:b/>
          <w:bCs/>
        </w:rPr>
        <w:t>Two sets of 165, with different compositions:</w:t>
      </w:r>
    </w:p>
    <w:tbl>
      <w:tblPr>
        <w:tblStyle w:val="Table"/>
        <w:tblW w:w="0" w:type="auto"/>
        <w:tblLook w:val="0020" w:firstRow="1" w:lastRow="0" w:firstColumn="0" w:lastColumn="0" w:noHBand="0" w:noVBand="0"/>
      </w:tblPr>
      <w:tblGrid>
        <w:gridCol w:w="2492"/>
        <w:gridCol w:w="7084"/>
      </w:tblGrid>
      <w:tr w:rsidR="00E12BB1" w14:paraId="5A8DB30F" w14:textId="77777777" w:rsidTr="00E12BB1">
        <w:trPr>
          <w:cnfStyle w:val="100000000000" w:firstRow="1" w:lastRow="0" w:firstColumn="0" w:lastColumn="0" w:oddVBand="0" w:evenVBand="0" w:oddHBand="0" w:evenHBand="0" w:firstRowFirstColumn="0" w:firstRowLastColumn="0" w:lastRowFirstColumn="0" w:lastRowLastColumn="0"/>
          <w:tblHeader/>
        </w:trPr>
        <w:tc>
          <w:tcPr>
            <w:tcW w:w="0" w:type="auto"/>
          </w:tcPr>
          <w:p w14:paraId="30D15EDE" w14:textId="77777777" w:rsidR="00E12BB1" w:rsidRDefault="00000000">
            <w:pPr>
              <w:pStyle w:val="Compact"/>
            </w:pPr>
            <w:r>
              <w:t>set</w:t>
            </w:r>
          </w:p>
        </w:tc>
        <w:tc>
          <w:tcPr>
            <w:tcW w:w="0" w:type="auto"/>
          </w:tcPr>
          <w:p w14:paraId="6B313A12" w14:textId="77777777" w:rsidR="00E12BB1" w:rsidRDefault="00000000">
            <w:pPr>
              <w:pStyle w:val="Compact"/>
            </w:pPr>
            <w:r>
              <w:t>composition</w:t>
            </w:r>
          </w:p>
        </w:tc>
      </w:tr>
      <w:tr w:rsidR="00E12BB1" w14:paraId="512CFD59" w14:textId="77777777">
        <w:tc>
          <w:tcPr>
            <w:tcW w:w="0" w:type="auto"/>
          </w:tcPr>
          <w:p w14:paraId="091B1D4B" w14:textId="77777777" w:rsidR="00E12BB1" w:rsidRDefault="00000000">
            <w:pPr>
              <w:pStyle w:val="Compact"/>
            </w:pPr>
            <w:r>
              <w:t>clean (</w:t>
            </w:r>
            <w:r>
              <w:rPr>
                <w:rStyle w:val="VerbatimChar"/>
              </w:rPr>
              <w:t>synthetic_*</w:t>
            </w:r>
            <w:r>
              <w:t>)</w:t>
            </w:r>
          </w:p>
        </w:tc>
        <w:tc>
          <w:tcPr>
            <w:tcW w:w="0" w:type="auto"/>
          </w:tcPr>
          <w:p w14:paraId="703F8DBA" w14:textId="77777777" w:rsidR="00E12BB1" w:rsidRDefault="00000000">
            <w:pPr>
              <w:pStyle w:val="Compact"/>
            </w:pPr>
            <w:r>
              <w:t>55 bank statements + 55 invoices + 55 receipts</w:t>
            </w:r>
          </w:p>
        </w:tc>
      </w:tr>
      <w:tr w:rsidR="00E12BB1" w14:paraId="11C72726" w14:textId="77777777">
        <w:tc>
          <w:tcPr>
            <w:tcW w:w="0" w:type="auto"/>
          </w:tcPr>
          <w:p w14:paraId="46002502" w14:textId="77777777" w:rsidR="00E12BB1" w:rsidRDefault="00000000">
            <w:pPr>
              <w:pStyle w:val="Compact"/>
            </w:pPr>
            <w:r>
              <w:t>degraded (</w:t>
            </w:r>
            <w:r>
              <w:rPr>
                <w:rStyle w:val="VerbatimChar"/>
              </w:rPr>
              <w:t>degraded_*</w:t>
            </w:r>
            <w:r>
              <w:t>)</w:t>
            </w:r>
          </w:p>
        </w:tc>
        <w:tc>
          <w:tcPr>
            <w:tcW w:w="0" w:type="auto"/>
          </w:tcPr>
          <w:p w14:paraId="0E98AA3A" w14:textId="77777777" w:rsidR="00E12BB1" w:rsidRDefault="00000000">
            <w:pPr>
              <w:pStyle w:val="Compact"/>
            </w:pPr>
            <w:r>
              <w:t>the same 55 receipts × 3 severity tiers (</w:t>
            </w:r>
            <w:r>
              <w:rPr>
                <w:rStyle w:val="VerbatimChar"/>
              </w:rPr>
              <w:t>_v1</w:t>
            </w:r>
            <w:r>
              <w:t xml:space="preserve"> light, </w:t>
            </w:r>
            <w:r>
              <w:rPr>
                <w:rStyle w:val="VerbatimChar"/>
              </w:rPr>
              <w:t>_v2</w:t>
            </w:r>
            <w:r>
              <w:t xml:space="preserve"> moderate, </w:t>
            </w:r>
            <w:r>
              <w:rPr>
                <w:rStyle w:val="VerbatimChar"/>
              </w:rPr>
              <w:t>_v3</w:t>
            </w:r>
            <w:r>
              <w:t xml:space="preserve"> heavy)</w:t>
            </w:r>
          </w:p>
        </w:tc>
      </w:tr>
    </w:tbl>
    <w:p w14:paraId="20359980" w14:textId="77777777" w:rsidR="00E12BB1" w:rsidRDefault="00000000">
      <w:pPr>
        <w:pStyle w:val="BodyText"/>
      </w:pPr>
      <w:r>
        <w:t xml:space="preserve">The degraded set is built from the </w:t>
      </w:r>
      <w:r>
        <w:rPr>
          <w:b/>
          <w:bCs/>
        </w:rPr>
        <w:t>same 55 receipts</w:t>
      </w:r>
      <w:r>
        <w:t xml:space="preserve"> that appear in the clean set — verified: the base filenames match exactly. So a genuine robustness measurement is available, but it must be </w:t>
      </w:r>
      <w:r>
        <w:rPr>
          <w:b/>
          <w:bCs/>
        </w:rPr>
        <w:t>restricted to receipts</w:t>
      </w:r>
      <w:r>
        <w:t>:</w:t>
      </w:r>
    </w:p>
    <w:p w14:paraId="434E7BEC" w14:textId="77777777" w:rsidR="00E12BB1" w:rsidRDefault="00000000">
      <w:pPr>
        <w:pStyle w:val="Compact"/>
        <w:numPr>
          <w:ilvl w:val="0"/>
          <w:numId w:val="2"/>
        </w:numPr>
      </w:pPr>
      <w:r>
        <w:rPr>
          <w:b/>
          <w:bCs/>
        </w:rPr>
        <w:t>Valid:</w:t>
      </w:r>
      <w:r>
        <w:t xml:space="preserve"> the 55 clean receipts against their 165 degraded variants, or against each severity tier separately. The tier is recoverable from the </w:t>
      </w:r>
      <w:r>
        <w:rPr>
          <w:rStyle w:val="VerbatimChar"/>
        </w:rPr>
        <w:t>_v1</w:t>
      </w:r>
      <w:r>
        <w:t>/</w:t>
      </w:r>
      <w:r>
        <w:rPr>
          <w:rStyle w:val="VerbatimChar"/>
        </w:rPr>
        <w:t>_v2</w:t>
      </w:r>
      <w:r>
        <w:t>/</w:t>
      </w:r>
      <w:r>
        <w:rPr>
          <w:rStyle w:val="VerbatimChar"/>
        </w:rPr>
        <w:t>_v3</w:t>
      </w:r>
      <w:r>
        <w:t xml:space="preserve"> filename suffix, so one run covers all three.</w:t>
      </w:r>
    </w:p>
    <w:p w14:paraId="34F4DDF5" w14:textId="77777777" w:rsidR="00E12BB1" w:rsidRDefault="00000000">
      <w:pPr>
        <w:pStyle w:val="Compact"/>
        <w:numPr>
          <w:ilvl w:val="0"/>
          <w:numId w:val="2"/>
        </w:numPr>
      </w:pPr>
      <w:r>
        <w:rPr>
          <w:b/>
          <w:bCs/>
        </w:rPr>
        <w:t>Invalid:</w:t>
      </w:r>
      <w:r>
        <w:t xml:space="preserve"> the two headline numbers against each other. The clean headline includes bank statements and invoices, which the degraded set does not contain at all — so that difference measures document mix, not degradation.</w:t>
      </w:r>
    </w:p>
    <w:p w14:paraId="30F3D5F3" w14:textId="77777777" w:rsidR="00E12BB1" w:rsidRDefault="00000000">
      <w:pPr>
        <w:pStyle w:val="FirstParagraph"/>
      </w:pPr>
      <w:r>
        <w:t xml:space="preserve">This is why InternVL3.5 appears to score </w:t>
      </w:r>
      <w:r>
        <w:rPr>
          <w:i/>
          <w:iCs/>
        </w:rPr>
        <w:t>higher</w:t>
      </w:r>
      <w:r>
        <w:t xml:space="preserve"> on degraded (0.871) than clean (0.860): the clean set contains bank statements, the hardest type, and the degraded set does not.</w:t>
      </w:r>
    </w:p>
    <w:p w14:paraId="15638BDE" w14:textId="77777777" w:rsidR="00E12BB1" w:rsidRDefault="004D18D3">
      <w:r>
        <w:rPr>
          <w:noProof/>
        </w:rPr>
      </w:r>
      <w:r>
        <w:pict w14:anchorId="5EBE6C57">
          <v:rect id="Horizontal Line 1" o:spid="_x0000_s1029"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Zsjwml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58EF070F" w14:textId="77777777" w:rsidR="001B4E8C" w:rsidRDefault="001B4E8C">
      <w:pPr>
        <w:rPr>
          <w:rFonts w:asciiTheme="majorHAnsi" w:eastAsiaTheme="majorEastAsia" w:hAnsiTheme="majorHAnsi" w:cstheme="majorBidi"/>
          <w:color w:val="0F4761" w:themeColor="accent1" w:themeShade="BF"/>
          <w:sz w:val="32"/>
          <w:szCs w:val="32"/>
        </w:rPr>
      </w:pPr>
      <w:bookmarkStart w:id="2" w:name="_Toc237850584"/>
      <w:bookmarkStart w:id="3" w:name="results-both-models-current-scorer"/>
      <w:r>
        <w:br w:type="page"/>
      </w:r>
    </w:p>
    <w:p w14:paraId="26F98D28" w14:textId="2C306DBF" w:rsidR="00E12BB1" w:rsidRDefault="00000000">
      <w:pPr>
        <w:pStyle w:val="Heading2"/>
      </w:pPr>
      <w:r>
        <w:lastRenderedPageBreak/>
        <w:t>Results (both models, current scorer)</w:t>
      </w:r>
      <w:bookmarkEnd w:id="2"/>
    </w:p>
    <w:tbl>
      <w:tblPr>
        <w:tblStyle w:val="Table"/>
        <w:tblW w:w="0" w:type="auto"/>
        <w:tblLook w:val="0020" w:firstRow="1" w:lastRow="0" w:firstColumn="0" w:lastColumn="0" w:noHBand="0" w:noVBand="0"/>
      </w:tblPr>
      <w:tblGrid>
        <w:gridCol w:w="2466"/>
        <w:gridCol w:w="1610"/>
        <w:gridCol w:w="2232"/>
      </w:tblGrid>
      <w:tr w:rsidR="00E12BB1" w14:paraId="61A3C64E" w14:textId="77777777" w:rsidTr="00E12BB1">
        <w:trPr>
          <w:cnfStyle w:val="100000000000" w:firstRow="1" w:lastRow="0" w:firstColumn="0" w:lastColumn="0" w:oddVBand="0" w:evenVBand="0" w:oddHBand="0" w:evenHBand="0" w:firstRowFirstColumn="0" w:firstRowLastColumn="0" w:lastRowFirstColumn="0" w:lastRowLastColumn="0"/>
          <w:tblHeader/>
        </w:trPr>
        <w:tc>
          <w:tcPr>
            <w:tcW w:w="0" w:type="auto"/>
          </w:tcPr>
          <w:p w14:paraId="4EA8F246" w14:textId="77777777" w:rsidR="00E12BB1" w:rsidRDefault="00E12BB1">
            <w:pPr>
              <w:pStyle w:val="Compact"/>
            </w:pPr>
          </w:p>
        </w:tc>
        <w:tc>
          <w:tcPr>
            <w:tcW w:w="0" w:type="auto"/>
          </w:tcPr>
          <w:p w14:paraId="426350DB" w14:textId="77777777" w:rsidR="00E12BB1" w:rsidRDefault="00000000">
            <w:pPr>
              <w:pStyle w:val="Compact"/>
            </w:pPr>
            <w:r>
              <w:t>clean (mixed)</w:t>
            </w:r>
          </w:p>
        </w:tc>
        <w:tc>
          <w:tcPr>
            <w:tcW w:w="0" w:type="auto"/>
          </w:tcPr>
          <w:p w14:paraId="7721AAD6" w14:textId="77777777" w:rsidR="00E12BB1" w:rsidRDefault="00000000">
            <w:pPr>
              <w:pStyle w:val="Compact"/>
            </w:pPr>
            <w:r>
              <w:t>degraded (receipts)</w:t>
            </w:r>
          </w:p>
        </w:tc>
      </w:tr>
      <w:tr w:rsidR="00E12BB1" w14:paraId="358DE851" w14:textId="77777777">
        <w:tc>
          <w:tcPr>
            <w:tcW w:w="0" w:type="auto"/>
          </w:tcPr>
          <w:p w14:paraId="62FB9432" w14:textId="77777777" w:rsidR="00E12BB1" w:rsidRDefault="00000000">
            <w:pPr>
              <w:pStyle w:val="Compact"/>
            </w:pPr>
            <w:r>
              <w:t>Gemma 4 12B W4A16</w:t>
            </w:r>
          </w:p>
        </w:tc>
        <w:tc>
          <w:tcPr>
            <w:tcW w:w="0" w:type="auto"/>
          </w:tcPr>
          <w:p w14:paraId="687137A6" w14:textId="77777777" w:rsidR="00E12BB1" w:rsidRDefault="00000000">
            <w:pPr>
              <w:pStyle w:val="Compact"/>
            </w:pPr>
            <w:r>
              <w:rPr>
                <w:b/>
                <w:bCs/>
              </w:rPr>
              <w:t>0.957</w:t>
            </w:r>
          </w:p>
        </w:tc>
        <w:tc>
          <w:tcPr>
            <w:tcW w:w="0" w:type="auto"/>
          </w:tcPr>
          <w:p w14:paraId="5A70D450" w14:textId="77777777" w:rsidR="00E12BB1" w:rsidRDefault="00000000">
            <w:pPr>
              <w:pStyle w:val="Compact"/>
            </w:pPr>
            <w:r>
              <w:rPr>
                <w:b/>
                <w:bCs/>
              </w:rPr>
              <w:t>0.930</w:t>
            </w:r>
          </w:p>
        </w:tc>
      </w:tr>
      <w:tr w:rsidR="00E12BB1" w14:paraId="070D8D57" w14:textId="77777777">
        <w:tc>
          <w:tcPr>
            <w:tcW w:w="0" w:type="auto"/>
          </w:tcPr>
          <w:p w14:paraId="20162A71" w14:textId="77777777" w:rsidR="00E12BB1" w:rsidRDefault="00000000">
            <w:pPr>
              <w:pStyle w:val="Compact"/>
            </w:pPr>
            <w:r>
              <w:t>InternVL3.5-8B</w:t>
            </w:r>
          </w:p>
        </w:tc>
        <w:tc>
          <w:tcPr>
            <w:tcW w:w="0" w:type="auto"/>
          </w:tcPr>
          <w:p w14:paraId="0D6701AD" w14:textId="77777777" w:rsidR="00E12BB1" w:rsidRDefault="00000000">
            <w:pPr>
              <w:pStyle w:val="Compact"/>
            </w:pPr>
            <w:r>
              <w:t>0.860</w:t>
            </w:r>
          </w:p>
        </w:tc>
        <w:tc>
          <w:tcPr>
            <w:tcW w:w="0" w:type="auto"/>
          </w:tcPr>
          <w:p w14:paraId="43B80E68" w14:textId="77777777" w:rsidR="00E12BB1" w:rsidRDefault="00000000">
            <w:pPr>
              <w:pStyle w:val="Compact"/>
            </w:pPr>
            <w:r>
              <w:t>0.871</w:t>
            </w:r>
          </w:p>
        </w:tc>
      </w:tr>
    </w:tbl>
    <w:p w14:paraId="2DF4091D" w14:textId="77777777" w:rsidR="00E12BB1" w:rsidRDefault="00000000">
      <w:pPr>
        <w:pStyle w:val="BodyText"/>
      </w:pPr>
      <w:r>
        <w:t>Per-field on the degraded set — identical documents, identical answer key, identical scorer:</w:t>
      </w:r>
    </w:p>
    <w:tbl>
      <w:tblPr>
        <w:tblStyle w:val="Table"/>
        <w:tblW w:w="0" w:type="auto"/>
        <w:tblLook w:val="0020" w:firstRow="1" w:lastRow="0" w:firstColumn="0" w:lastColumn="0" w:noHBand="0" w:noVBand="0"/>
      </w:tblPr>
      <w:tblGrid>
        <w:gridCol w:w="4120"/>
        <w:gridCol w:w="1227"/>
        <w:gridCol w:w="1413"/>
      </w:tblGrid>
      <w:tr w:rsidR="00E12BB1" w14:paraId="25385892" w14:textId="77777777" w:rsidTr="00E12BB1">
        <w:trPr>
          <w:cnfStyle w:val="100000000000" w:firstRow="1" w:lastRow="0" w:firstColumn="0" w:lastColumn="0" w:oddVBand="0" w:evenVBand="0" w:oddHBand="0" w:evenHBand="0" w:firstRowFirstColumn="0" w:firstRowLastColumn="0" w:lastRowFirstColumn="0" w:lastRowLastColumn="0"/>
          <w:tblHeader/>
        </w:trPr>
        <w:tc>
          <w:tcPr>
            <w:tcW w:w="0" w:type="auto"/>
          </w:tcPr>
          <w:p w14:paraId="060E7475" w14:textId="77777777" w:rsidR="00E12BB1" w:rsidRDefault="00000000">
            <w:pPr>
              <w:pStyle w:val="Compact"/>
            </w:pPr>
            <w:r>
              <w:t>field</w:t>
            </w:r>
          </w:p>
        </w:tc>
        <w:tc>
          <w:tcPr>
            <w:tcW w:w="0" w:type="auto"/>
          </w:tcPr>
          <w:p w14:paraId="73965496" w14:textId="77777777" w:rsidR="00E12BB1" w:rsidRDefault="00000000">
            <w:pPr>
              <w:pStyle w:val="Compact"/>
            </w:pPr>
            <w:r>
              <w:t>Gemma 4</w:t>
            </w:r>
          </w:p>
        </w:tc>
        <w:tc>
          <w:tcPr>
            <w:tcW w:w="0" w:type="auto"/>
          </w:tcPr>
          <w:p w14:paraId="69380583" w14:textId="77777777" w:rsidR="00E12BB1" w:rsidRDefault="00000000">
            <w:pPr>
              <w:pStyle w:val="Compact"/>
            </w:pPr>
            <w:r>
              <w:t>InternVL3.5</w:t>
            </w:r>
          </w:p>
        </w:tc>
      </w:tr>
      <w:tr w:rsidR="00E12BB1" w14:paraId="70962026" w14:textId="77777777">
        <w:tc>
          <w:tcPr>
            <w:tcW w:w="0" w:type="auto"/>
          </w:tcPr>
          <w:p w14:paraId="7DAA94AE" w14:textId="77777777" w:rsidR="00E12BB1" w:rsidRDefault="00000000">
            <w:pPr>
              <w:pStyle w:val="Compact"/>
            </w:pPr>
            <w:r>
              <w:t>LINE_ITEM_PRICES</w:t>
            </w:r>
          </w:p>
        </w:tc>
        <w:tc>
          <w:tcPr>
            <w:tcW w:w="0" w:type="auto"/>
          </w:tcPr>
          <w:p w14:paraId="1416C788" w14:textId="77777777" w:rsidR="00E12BB1" w:rsidRDefault="00000000">
            <w:pPr>
              <w:pStyle w:val="Compact"/>
            </w:pPr>
            <w:r>
              <w:t>0.5865</w:t>
            </w:r>
          </w:p>
        </w:tc>
        <w:tc>
          <w:tcPr>
            <w:tcW w:w="0" w:type="auto"/>
          </w:tcPr>
          <w:p w14:paraId="48F16AAC" w14:textId="77777777" w:rsidR="00E12BB1" w:rsidRDefault="00000000">
            <w:pPr>
              <w:pStyle w:val="Compact"/>
            </w:pPr>
            <w:r>
              <w:t>0.2762</w:t>
            </w:r>
          </w:p>
        </w:tc>
      </w:tr>
      <w:tr w:rsidR="00E12BB1" w14:paraId="5CA3BDA6" w14:textId="77777777">
        <w:tc>
          <w:tcPr>
            <w:tcW w:w="0" w:type="auto"/>
          </w:tcPr>
          <w:p w14:paraId="4A5C3F93" w14:textId="77777777" w:rsidR="00E12BB1" w:rsidRDefault="00000000">
            <w:pPr>
              <w:pStyle w:val="Compact"/>
            </w:pPr>
            <w:r>
              <w:t>LINE_ITEM_TOTAL_PRICES</w:t>
            </w:r>
          </w:p>
        </w:tc>
        <w:tc>
          <w:tcPr>
            <w:tcW w:w="0" w:type="auto"/>
          </w:tcPr>
          <w:p w14:paraId="4FFFC849" w14:textId="77777777" w:rsidR="00E12BB1" w:rsidRDefault="00000000">
            <w:pPr>
              <w:pStyle w:val="Compact"/>
            </w:pPr>
            <w:r>
              <w:t>0.8348</w:t>
            </w:r>
          </w:p>
        </w:tc>
        <w:tc>
          <w:tcPr>
            <w:tcW w:w="0" w:type="auto"/>
          </w:tcPr>
          <w:p w14:paraId="22B38937" w14:textId="77777777" w:rsidR="00E12BB1" w:rsidRDefault="00000000">
            <w:pPr>
              <w:pStyle w:val="Compact"/>
            </w:pPr>
            <w:r>
              <w:t>0.7877</w:t>
            </w:r>
          </w:p>
        </w:tc>
      </w:tr>
      <w:tr w:rsidR="00E12BB1" w14:paraId="1DD61AA5" w14:textId="77777777">
        <w:tc>
          <w:tcPr>
            <w:tcW w:w="0" w:type="auto"/>
          </w:tcPr>
          <w:p w14:paraId="10AF6BC4" w14:textId="77777777" w:rsidR="00E12BB1" w:rsidRDefault="00000000">
            <w:pPr>
              <w:pStyle w:val="Compact"/>
            </w:pPr>
            <w:r>
              <w:t>IS_GST_INCLUDED</w:t>
            </w:r>
          </w:p>
        </w:tc>
        <w:tc>
          <w:tcPr>
            <w:tcW w:w="0" w:type="auto"/>
          </w:tcPr>
          <w:p w14:paraId="34C5E53E" w14:textId="77777777" w:rsidR="00E12BB1" w:rsidRDefault="00000000">
            <w:pPr>
              <w:pStyle w:val="Compact"/>
            </w:pPr>
            <w:r>
              <w:t>0.8485</w:t>
            </w:r>
          </w:p>
        </w:tc>
        <w:tc>
          <w:tcPr>
            <w:tcW w:w="0" w:type="auto"/>
          </w:tcPr>
          <w:p w14:paraId="26F8475A" w14:textId="77777777" w:rsidR="00E12BB1" w:rsidRDefault="00000000">
            <w:pPr>
              <w:pStyle w:val="Compact"/>
            </w:pPr>
            <w:r>
              <w:t>0.7455</w:t>
            </w:r>
          </w:p>
        </w:tc>
      </w:tr>
      <w:tr w:rsidR="00E12BB1" w14:paraId="0F76689A" w14:textId="77777777">
        <w:tc>
          <w:tcPr>
            <w:tcW w:w="0" w:type="auto"/>
          </w:tcPr>
          <w:p w14:paraId="39C8E257" w14:textId="77777777" w:rsidR="00E12BB1" w:rsidRDefault="00000000">
            <w:pPr>
              <w:pStyle w:val="Compact"/>
            </w:pPr>
            <w:r>
              <w:t>GST_AMOUNT</w:t>
            </w:r>
          </w:p>
        </w:tc>
        <w:tc>
          <w:tcPr>
            <w:tcW w:w="0" w:type="auto"/>
          </w:tcPr>
          <w:p w14:paraId="6A9FF87F" w14:textId="77777777" w:rsidR="00E12BB1" w:rsidRDefault="00000000">
            <w:pPr>
              <w:pStyle w:val="Compact"/>
            </w:pPr>
            <w:r>
              <w:t>0.8727</w:t>
            </w:r>
          </w:p>
        </w:tc>
        <w:tc>
          <w:tcPr>
            <w:tcW w:w="0" w:type="auto"/>
          </w:tcPr>
          <w:p w14:paraId="160D18A0" w14:textId="77777777" w:rsidR="00E12BB1" w:rsidRDefault="00000000">
            <w:pPr>
              <w:pStyle w:val="Compact"/>
            </w:pPr>
            <w:r>
              <w:t>0.8606</w:t>
            </w:r>
          </w:p>
        </w:tc>
      </w:tr>
      <w:tr w:rsidR="00E12BB1" w14:paraId="5C3FDE2F" w14:textId="77777777">
        <w:tc>
          <w:tcPr>
            <w:tcW w:w="0" w:type="auto"/>
          </w:tcPr>
          <w:p w14:paraId="4C979172" w14:textId="77777777" w:rsidR="00E12BB1" w:rsidRDefault="00000000">
            <w:pPr>
              <w:pStyle w:val="Compact"/>
            </w:pPr>
            <w:r>
              <w:t>BUSINESS_ABN</w:t>
            </w:r>
          </w:p>
        </w:tc>
        <w:tc>
          <w:tcPr>
            <w:tcW w:w="0" w:type="auto"/>
          </w:tcPr>
          <w:p w14:paraId="6DB39069" w14:textId="77777777" w:rsidR="00E12BB1" w:rsidRDefault="00000000">
            <w:pPr>
              <w:pStyle w:val="Compact"/>
            </w:pPr>
            <w:r>
              <w:t>0.9273</w:t>
            </w:r>
          </w:p>
        </w:tc>
        <w:tc>
          <w:tcPr>
            <w:tcW w:w="0" w:type="auto"/>
          </w:tcPr>
          <w:p w14:paraId="1CB80FB9" w14:textId="77777777" w:rsidR="00E12BB1" w:rsidRDefault="00000000">
            <w:pPr>
              <w:pStyle w:val="Compact"/>
            </w:pPr>
            <w:r>
              <w:t>0.8485</w:t>
            </w:r>
          </w:p>
        </w:tc>
      </w:tr>
      <w:tr w:rsidR="00E12BB1" w14:paraId="54488230" w14:textId="77777777">
        <w:tc>
          <w:tcPr>
            <w:tcW w:w="0" w:type="auto"/>
          </w:tcPr>
          <w:p w14:paraId="193B90D6" w14:textId="77777777" w:rsidR="00E12BB1" w:rsidRDefault="00000000">
            <w:pPr>
              <w:pStyle w:val="Compact"/>
            </w:pPr>
            <w:r>
              <w:t>LINE_ITEM_DESCRIPTIONS</w:t>
            </w:r>
          </w:p>
        </w:tc>
        <w:tc>
          <w:tcPr>
            <w:tcW w:w="0" w:type="auto"/>
          </w:tcPr>
          <w:p w14:paraId="1D301A77" w14:textId="77777777" w:rsidR="00E12BB1" w:rsidRDefault="00000000">
            <w:pPr>
              <w:pStyle w:val="Compact"/>
            </w:pPr>
            <w:r>
              <w:t>0.9993</w:t>
            </w:r>
          </w:p>
        </w:tc>
        <w:tc>
          <w:tcPr>
            <w:tcW w:w="0" w:type="auto"/>
          </w:tcPr>
          <w:p w14:paraId="59740DF6" w14:textId="77777777" w:rsidR="00E12BB1" w:rsidRDefault="00000000">
            <w:pPr>
              <w:pStyle w:val="Compact"/>
            </w:pPr>
            <w:r>
              <w:t>0.8898</w:t>
            </w:r>
          </w:p>
        </w:tc>
      </w:tr>
      <w:tr w:rsidR="00E12BB1" w14:paraId="648A0565" w14:textId="77777777">
        <w:tc>
          <w:tcPr>
            <w:tcW w:w="0" w:type="auto"/>
          </w:tcPr>
          <w:p w14:paraId="7CB753E2" w14:textId="77777777" w:rsidR="00E12BB1" w:rsidRDefault="00000000">
            <w:pPr>
              <w:pStyle w:val="Compact"/>
            </w:pPr>
            <w:r>
              <w:t>PAYER_NAME</w:t>
            </w:r>
          </w:p>
        </w:tc>
        <w:tc>
          <w:tcPr>
            <w:tcW w:w="0" w:type="auto"/>
          </w:tcPr>
          <w:p w14:paraId="201A0D40" w14:textId="77777777" w:rsidR="00E12BB1" w:rsidRDefault="00000000">
            <w:pPr>
              <w:pStyle w:val="Compact"/>
            </w:pPr>
            <w:r>
              <w:t>1.0000</w:t>
            </w:r>
          </w:p>
        </w:tc>
        <w:tc>
          <w:tcPr>
            <w:tcW w:w="0" w:type="auto"/>
          </w:tcPr>
          <w:p w14:paraId="227B0560" w14:textId="77777777" w:rsidR="00E12BB1" w:rsidRDefault="00000000">
            <w:pPr>
              <w:pStyle w:val="Compact"/>
            </w:pPr>
            <w:r>
              <w:t>0.9212</w:t>
            </w:r>
          </w:p>
        </w:tc>
      </w:tr>
      <w:tr w:rsidR="00E12BB1" w14:paraId="1B30C025" w14:textId="77777777">
        <w:tc>
          <w:tcPr>
            <w:tcW w:w="0" w:type="auto"/>
          </w:tcPr>
          <w:p w14:paraId="1DFDE583" w14:textId="77777777" w:rsidR="00E12BB1" w:rsidRDefault="00000000">
            <w:pPr>
              <w:pStyle w:val="Compact"/>
            </w:pPr>
            <w:r>
              <w:t>BUSINESS_ADDRESS</w:t>
            </w:r>
          </w:p>
        </w:tc>
        <w:tc>
          <w:tcPr>
            <w:tcW w:w="0" w:type="auto"/>
          </w:tcPr>
          <w:p w14:paraId="305A82B2" w14:textId="77777777" w:rsidR="00E12BB1" w:rsidRDefault="00000000">
            <w:pPr>
              <w:pStyle w:val="Compact"/>
            </w:pPr>
            <w:r>
              <w:t>0.9663</w:t>
            </w:r>
          </w:p>
        </w:tc>
        <w:tc>
          <w:tcPr>
            <w:tcW w:w="0" w:type="auto"/>
          </w:tcPr>
          <w:p w14:paraId="1B54B1AB" w14:textId="77777777" w:rsidR="00E12BB1" w:rsidRDefault="00000000">
            <w:pPr>
              <w:pStyle w:val="Compact"/>
            </w:pPr>
            <w:r>
              <w:t>0.9493</w:t>
            </w:r>
          </w:p>
        </w:tc>
      </w:tr>
      <w:tr w:rsidR="00E12BB1" w14:paraId="01C728F6" w14:textId="77777777">
        <w:tc>
          <w:tcPr>
            <w:tcW w:w="0" w:type="auto"/>
          </w:tcPr>
          <w:p w14:paraId="384808CF" w14:textId="77777777" w:rsidR="00E12BB1" w:rsidRDefault="00000000">
            <w:pPr>
              <w:pStyle w:val="Compact"/>
            </w:pPr>
            <w:r>
              <w:t>LINE_ITEM_QUANTITIES</w:t>
            </w:r>
          </w:p>
        </w:tc>
        <w:tc>
          <w:tcPr>
            <w:tcW w:w="0" w:type="auto"/>
          </w:tcPr>
          <w:p w14:paraId="3E86BDF9" w14:textId="77777777" w:rsidR="00E12BB1" w:rsidRDefault="00000000">
            <w:pPr>
              <w:pStyle w:val="Compact"/>
            </w:pPr>
            <w:r>
              <w:t>0.9927</w:t>
            </w:r>
          </w:p>
        </w:tc>
        <w:tc>
          <w:tcPr>
            <w:tcW w:w="0" w:type="auto"/>
          </w:tcPr>
          <w:p w14:paraId="5232CBF4" w14:textId="77777777" w:rsidR="00E12BB1" w:rsidRDefault="00000000">
            <w:pPr>
              <w:pStyle w:val="Compact"/>
            </w:pPr>
            <w:r>
              <w:t>0.9521</w:t>
            </w:r>
          </w:p>
        </w:tc>
      </w:tr>
      <w:tr w:rsidR="00E12BB1" w14:paraId="7F8A3DD4" w14:textId="77777777">
        <w:tc>
          <w:tcPr>
            <w:tcW w:w="0" w:type="auto"/>
          </w:tcPr>
          <w:p w14:paraId="507B0643" w14:textId="77777777" w:rsidR="00E12BB1" w:rsidRDefault="00000000">
            <w:pPr>
              <w:pStyle w:val="Compact"/>
            </w:pPr>
            <w:r>
              <w:t>INVOICE_DATE</w:t>
            </w:r>
          </w:p>
        </w:tc>
        <w:tc>
          <w:tcPr>
            <w:tcW w:w="0" w:type="auto"/>
          </w:tcPr>
          <w:p w14:paraId="1AAC0838" w14:textId="77777777" w:rsidR="00E12BB1" w:rsidRDefault="00000000">
            <w:pPr>
              <w:pStyle w:val="Compact"/>
            </w:pPr>
            <w:r>
              <w:t>0.9939</w:t>
            </w:r>
          </w:p>
        </w:tc>
        <w:tc>
          <w:tcPr>
            <w:tcW w:w="0" w:type="auto"/>
          </w:tcPr>
          <w:p w14:paraId="54C40896" w14:textId="77777777" w:rsidR="00E12BB1" w:rsidRDefault="00000000">
            <w:pPr>
              <w:pStyle w:val="Compact"/>
            </w:pPr>
            <w:r>
              <w:t>0.9758</w:t>
            </w:r>
          </w:p>
        </w:tc>
      </w:tr>
      <w:tr w:rsidR="00E12BB1" w14:paraId="10297659" w14:textId="77777777">
        <w:tc>
          <w:tcPr>
            <w:tcW w:w="0" w:type="auto"/>
          </w:tcPr>
          <w:p w14:paraId="7572D7F6" w14:textId="77777777" w:rsidR="00E12BB1" w:rsidRDefault="00000000">
            <w:pPr>
              <w:pStyle w:val="Compact"/>
            </w:pPr>
            <w:r>
              <w:t>SUPPLIER_NAME</w:t>
            </w:r>
          </w:p>
        </w:tc>
        <w:tc>
          <w:tcPr>
            <w:tcW w:w="0" w:type="auto"/>
          </w:tcPr>
          <w:p w14:paraId="51D3F26D" w14:textId="77777777" w:rsidR="00E12BB1" w:rsidRDefault="00000000">
            <w:pPr>
              <w:pStyle w:val="Compact"/>
            </w:pPr>
            <w:r>
              <w:t>0.9989</w:t>
            </w:r>
          </w:p>
        </w:tc>
        <w:tc>
          <w:tcPr>
            <w:tcW w:w="0" w:type="auto"/>
          </w:tcPr>
          <w:p w14:paraId="4B081564" w14:textId="77777777" w:rsidR="00E12BB1" w:rsidRDefault="00000000">
            <w:pPr>
              <w:pStyle w:val="Compact"/>
            </w:pPr>
            <w:r>
              <w:t>0.9916</w:t>
            </w:r>
          </w:p>
        </w:tc>
      </w:tr>
      <w:tr w:rsidR="00E12BB1" w14:paraId="3B17A4BF" w14:textId="77777777">
        <w:tc>
          <w:tcPr>
            <w:tcW w:w="0" w:type="auto"/>
          </w:tcPr>
          <w:p w14:paraId="21ADDFB8" w14:textId="77777777" w:rsidR="00E12BB1" w:rsidRDefault="00000000">
            <w:pPr>
              <w:pStyle w:val="Compact"/>
            </w:pPr>
            <w:r>
              <w:t>TOTAL_AMOUNT</w:t>
            </w:r>
          </w:p>
        </w:tc>
        <w:tc>
          <w:tcPr>
            <w:tcW w:w="0" w:type="auto"/>
          </w:tcPr>
          <w:p w14:paraId="266C4FD7" w14:textId="77777777" w:rsidR="00E12BB1" w:rsidRDefault="00000000">
            <w:pPr>
              <w:pStyle w:val="Compact"/>
            </w:pPr>
            <w:r>
              <w:t>1.0000</w:t>
            </w:r>
          </w:p>
        </w:tc>
        <w:tc>
          <w:tcPr>
            <w:tcW w:w="0" w:type="auto"/>
          </w:tcPr>
          <w:p w14:paraId="243FB536" w14:textId="77777777" w:rsidR="00E12BB1" w:rsidRDefault="00000000">
            <w:pPr>
              <w:pStyle w:val="Compact"/>
            </w:pPr>
            <w:r>
              <w:t>0.9939</w:t>
            </w:r>
          </w:p>
        </w:tc>
      </w:tr>
      <w:tr w:rsidR="00E12BB1" w14:paraId="2BA01EB1" w14:textId="77777777">
        <w:tc>
          <w:tcPr>
            <w:tcW w:w="0" w:type="auto"/>
          </w:tcPr>
          <w:p w14:paraId="1517FBD8" w14:textId="77777777" w:rsidR="00E12BB1" w:rsidRDefault="00000000">
            <w:pPr>
              <w:pStyle w:val="Compact"/>
            </w:pPr>
            <w:r>
              <w:t>DOCUMENT_TYPE / PAYER_ADDRESS</w:t>
            </w:r>
          </w:p>
        </w:tc>
        <w:tc>
          <w:tcPr>
            <w:tcW w:w="0" w:type="auto"/>
          </w:tcPr>
          <w:p w14:paraId="542559BF" w14:textId="77777777" w:rsidR="00E12BB1" w:rsidRDefault="00000000">
            <w:pPr>
              <w:pStyle w:val="Compact"/>
            </w:pPr>
            <w:r>
              <w:t>1.0000</w:t>
            </w:r>
          </w:p>
        </w:tc>
        <w:tc>
          <w:tcPr>
            <w:tcW w:w="0" w:type="auto"/>
          </w:tcPr>
          <w:p w14:paraId="37F0CAC8" w14:textId="77777777" w:rsidR="00E12BB1" w:rsidRDefault="00000000">
            <w:pPr>
              <w:pStyle w:val="Compact"/>
            </w:pPr>
            <w:r>
              <w:t>1.0000</w:t>
            </w:r>
          </w:p>
        </w:tc>
      </w:tr>
    </w:tbl>
    <w:p w14:paraId="38C64371" w14:textId="77777777" w:rsidR="00E12BB1" w:rsidRDefault="00000000">
      <w:pPr>
        <w:pStyle w:val="BodyText"/>
      </w:pPr>
      <w:r>
        <w:t>Gemma 4 wins or ties every field.</w:t>
      </w:r>
    </w:p>
    <w:p w14:paraId="29162968" w14:textId="77777777" w:rsidR="00E12BB1" w:rsidRDefault="004D18D3">
      <w:r>
        <w:rPr>
          <w:noProof/>
        </w:rPr>
      </w:r>
      <w:r>
        <w:pict w14:anchorId="67B444B9">
          <v:rect id="Horizontal Line 2" o:spid="_x0000_s102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Zsjwml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523F4F13" w14:textId="77777777" w:rsidR="00E12BB1" w:rsidRDefault="00000000">
      <w:pPr>
        <w:pStyle w:val="Heading2"/>
      </w:pPr>
      <w:bookmarkStart w:id="4" w:name="_Toc237850585"/>
      <w:bookmarkStart w:id="5" w:name="reading-the-tables"/>
      <w:bookmarkEnd w:id="3"/>
      <w:r>
        <w:t>Reading the tables</w:t>
      </w:r>
      <w:bookmarkEnd w:id="4"/>
    </w:p>
    <w:p w14:paraId="61C97300" w14:textId="77777777" w:rsidR="00E12BB1" w:rsidRDefault="00000000">
      <w:pPr>
        <w:pStyle w:val="Compact"/>
        <w:numPr>
          <w:ilvl w:val="0"/>
          <w:numId w:val="3"/>
        </w:numPr>
      </w:pPr>
      <w:r>
        <w:rPr>
          <w:b/>
          <w:bCs/>
        </w:rPr>
        <w:t>Mean</w:t>
      </w:r>
      <w:r>
        <w:t xml:space="preserve"> — the field's F1 averaged across the documents scored for it.</w:t>
      </w:r>
    </w:p>
    <w:p w14:paraId="084DC4CF" w14:textId="77777777" w:rsidR="00E12BB1" w:rsidRDefault="00000000">
      <w:pPr>
        <w:pStyle w:val="Compact"/>
        <w:numPr>
          <w:ilvl w:val="0"/>
          <w:numId w:val="3"/>
        </w:numPr>
      </w:pPr>
      <w:r>
        <w:rPr>
          <w:b/>
          <w:bCs/>
        </w:rPr>
        <w:t>SD</w:t>
      </w:r>
      <w:r>
        <w:t xml:space="preserve"> — genuine spread here. Unlike a single-value benchmark, list fields (line items, transaction dates) are scored position-agnostically and earn </w:t>
      </w:r>
      <w:r>
        <w:rPr>
          <w:b/>
          <w:bCs/>
        </w:rPr>
        <w:t>partial credit</w:t>
      </w:r>
      <w:r>
        <w:t>, so a per-document F1 can be anything between 0 and 1. A high SD means the model is inconsistent document to document, not merely wrong.</w:t>
      </w:r>
    </w:p>
    <w:p w14:paraId="2A83EBB4" w14:textId="77777777" w:rsidR="00E12BB1" w:rsidRDefault="00000000">
      <w:pPr>
        <w:pStyle w:val="Compact"/>
        <w:numPr>
          <w:ilvl w:val="0"/>
          <w:numId w:val="3"/>
        </w:numPr>
      </w:pPr>
      <w:r>
        <w:rPr>
          <w:b/>
          <w:bCs/>
        </w:rPr>
        <w:t>95% CI</w:t>
      </w:r>
      <w:r>
        <w:t xml:space="preserve"> — a normal interval on the mean (</w:t>
      </w:r>
      <w:r>
        <w:rPr>
          <w:rStyle w:val="VerbatimChar"/>
        </w:rPr>
        <w:t>1.96 × sd / √n</w:t>
      </w:r>
      <w:r>
        <w:t>), clamped to [0, 1]. Use it before claiming two results differ; overlapping intervals are not evidence of a difference.</w:t>
      </w:r>
    </w:p>
    <w:p w14:paraId="21F61C34" w14:textId="77777777" w:rsidR="00E12BB1" w:rsidRDefault="00000000">
      <w:pPr>
        <w:pStyle w:val="Compact"/>
        <w:numPr>
          <w:ilvl w:val="0"/>
          <w:numId w:val="3"/>
        </w:numPr>
      </w:pPr>
      <w:r>
        <w:rPr>
          <w:b/>
          <w:bCs/>
        </w:rPr>
        <w:t>n</w:t>
      </w:r>
      <w:r>
        <w:t xml:space="preserve"> — documents scored for that field, and it </w:t>
      </w:r>
      <w:r>
        <w:rPr>
          <w:b/>
          <w:bCs/>
        </w:rPr>
        <w:t>varies</w:t>
      </w:r>
      <w:r>
        <w:t xml:space="preserve">. Field sets differ by document type: </w:t>
      </w:r>
      <w:r>
        <w:rPr>
          <w:rStyle w:val="VerbatimChar"/>
        </w:rPr>
        <w:t>TRANSACTION_DATES</w:t>
      </w:r>
      <w:r>
        <w:t xml:space="preserve"> appears only on bank statements, so on the clean set it is scored on 55 documents while </w:t>
      </w:r>
      <w:r>
        <w:rPr>
          <w:rStyle w:val="VerbatimChar"/>
        </w:rPr>
        <w:t>TOTAL_AMOUNT</w:t>
      </w:r>
      <w:r>
        <w:t xml:space="preserve"> gets 165.</w:t>
      </w:r>
    </w:p>
    <w:p w14:paraId="79A4B920" w14:textId="77777777" w:rsidR="00E12BB1" w:rsidRDefault="00000000">
      <w:pPr>
        <w:pStyle w:val="Compact"/>
        <w:numPr>
          <w:ilvl w:val="0"/>
          <w:numId w:val="3"/>
        </w:numPr>
      </w:pPr>
      <w:r>
        <w:rPr>
          <w:b/>
          <w:bCs/>
        </w:rPr>
        <w:lastRenderedPageBreak/>
        <w:t>Avg F1 (mean) vs (median)</w:t>
      </w:r>
      <w:r>
        <w:t xml:space="preserve"> — the median often sits near 1.00 while the mean is ~0.87. That is a left tail: most documents are near-perfect and a minority score badly. The mean is set by the failures, so chase those rather than the median.</w:t>
      </w:r>
    </w:p>
    <w:p w14:paraId="3F5EF058" w14:textId="77777777" w:rsidR="00E12BB1" w:rsidRDefault="004D18D3">
      <w:r>
        <w:rPr>
          <w:noProof/>
        </w:rPr>
      </w:r>
      <w:r>
        <w:pict w14:anchorId="2A22DB09">
          <v:rect id="Horizontal Line 3" o:spid="_x0000_s102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Zsjwml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38373337" w14:textId="77777777" w:rsidR="00E12BB1" w:rsidRDefault="00000000">
      <w:pPr>
        <w:pStyle w:val="Heading2"/>
      </w:pPr>
      <w:bookmarkStart w:id="6" w:name="_Toc237850586"/>
      <w:bookmarkStart w:id="7" w:name="X6137ecf19c2bd580de3e0ebdc9c5bd354579791"/>
      <w:bookmarkEnd w:id="5"/>
      <w:r>
        <w:t>Caveats to state before quoting these numbers</w:t>
      </w:r>
      <w:bookmarkEnd w:id="6"/>
    </w:p>
    <w:p w14:paraId="38B49741" w14:textId="77777777" w:rsidR="00E12BB1" w:rsidRDefault="00000000">
      <w:pPr>
        <w:pStyle w:val="FirstParagraph"/>
      </w:pPr>
      <w:r>
        <w:rPr>
          <w:rStyle w:val="VerbatimChar"/>
          <w:b/>
          <w:bCs/>
        </w:rPr>
        <w:t>IS_GST_INCLUDED</w:t>
      </w:r>
      <w:r>
        <w:rPr>
          <w:b/>
          <w:bCs/>
        </w:rPr>
        <w:t xml:space="preserve"> carries no independent information.</w:t>
      </w:r>
      <w:r>
        <w:t xml:space="preserve"> In this corpus it is fully determined by document type — every invoice is </w:t>
      </w:r>
      <w:r>
        <w:rPr>
          <w:rStyle w:val="VerbatimChar"/>
        </w:rPr>
        <w:t>false</w:t>
      </w:r>
      <w:r>
        <w:t xml:space="preserve">, every receipt is </w:t>
      </w:r>
      <w:r>
        <w:rPr>
          <w:rStyle w:val="VerbatimChar"/>
        </w:rPr>
        <w:t>true</w:t>
      </w:r>
      <w:r>
        <w:t xml:space="preserve">, every bank statement </w:t>
      </w:r>
      <w:r>
        <w:rPr>
          <w:rStyle w:val="VerbatimChar"/>
        </w:rPr>
        <w:t>NOT_FOUND</w:t>
      </w:r>
      <w:r>
        <w:t xml:space="preserve">. On the degraded set (all receipts) the answer is the constant </w:t>
      </w:r>
      <w:r>
        <w:rPr>
          <w:rStyle w:val="VerbatimChar"/>
        </w:rPr>
        <w:t>true</w:t>
      </w:r>
      <w:r>
        <w:t xml:space="preserve"> for all 165 documents. It still contributes 1/14 of the headline mean, so it can move the figure by up to 0.03 without measuring anything. Treat any change concentrated in that field as an artefact.</w:t>
      </w:r>
    </w:p>
    <w:p w14:paraId="031B5D07" w14:textId="77777777" w:rsidR="00E12BB1" w:rsidRDefault="00000000">
      <w:pPr>
        <w:pStyle w:val="BodyText"/>
      </w:pPr>
      <w:r>
        <w:rPr>
          <w:b/>
          <w:bCs/>
        </w:rPr>
        <w:t>The headline is an unweighted mean over fields.</w:t>
      </w:r>
      <w:r>
        <w:t xml:space="preserve"> A boolean flag and a multi-row line-item list count equally. If some fields matter more for a given use case, read the per-field table rather than the single number.</w:t>
      </w:r>
    </w:p>
    <w:p w14:paraId="4BCC82CD" w14:textId="77777777" w:rsidR="00E12BB1" w:rsidRDefault="00000000">
      <w:pPr>
        <w:pStyle w:val="BodyText"/>
      </w:pPr>
      <w:r>
        <w:rPr>
          <w:b/>
          <w:bCs/>
        </w:rPr>
        <w:t>Scorer version matters more than you would expect.</w:t>
      </w:r>
      <w:r>
        <w:t xml:space="preserve"> Re-scoring an unchanged extraction run with a later scorer moved its mean from 0.822 to 0.871 — a 0.049 shift with no change to the model output. Any comparison must have both sides scored by the same code. Figures quoted from older logs are not comparable to figures produced today.</w:t>
      </w:r>
    </w:p>
    <w:p w14:paraId="7FC2C139" w14:textId="77777777" w:rsidR="00E12BB1" w:rsidRDefault="00000000">
      <w:pPr>
        <w:pStyle w:val="BodyText"/>
      </w:pPr>
      <w:r>
        <w:rPr>
          <w:b/>
          <w:bCs/>
        </w:rPr>
        <w:t>Synthetic renders are not scans, and the degraded tiers are not photographs.</w:t>
      </w:r>
      <w:r>
        <w:t xml:space="preserve"> Text is clean and high-contrast, so resolution-sensitive fields score far higher here than on genuinely photographed documents — </w:t>
      </w:r>
      <w:r>
        <w:rPr>
          <w:rStyle w:val="VerbatimChar"/>
        </w:rPr>
        <w:t>BUSINESS_ADDRESS</w:t>
      </w:r>
      <w:r>
        <w:t xml:space="preserve"> is 0.95 here against 0.76 on the scanned SROIE benchmark.</w:t>
      </w:r>
    </w:p>
    <w:p w14:paraId="6D7B94E0" w14:textId="77777777" w:rsidR="00E12BB1" w:rsidRDefault="00000000">
      <w:pPr>
        <w:pStyle w:val="BodyText"/>
      </w:pPr>
      <w:r>
        <w:t xml:space="preserve">The degraded variants narrow that gap but do not close it. They are a clean render with a parametrised transform stack applied — ink bleed, a lighting gradient, a cast shadow, a fold, geometric warp, Gaussian blur and JPEG compression, at three severities. That is a </w:t>
      </w:r>
      <w:r>
        <w:rPr>
          <w:i/>
          <w:iCs/>
        </w:rPr>
        <w:t>model</w:t>
      </w:r>
      <w:r>
        <w:t xml:space="preserve"> of capture noise, calibrated for human legibility rather than derived from real photographs, and it does not reproduce specular glare, partial occlusion, motion blur, uneven focus, sensor noise in low light, faded thermal paper, or thermal and dot-matrix print quality.</w:t>
      </w:r>
    </w:p>
    <w:p w14:paraId="390B483E" w14:textId="77777777" w:rsidR="00E12BB1" w:rsidRDefault="00000000">
      <w:pPr>
        <w:pStyle w:val="BodyText"/>
      </w:pPr>
      <w:r>
        <w:rPr>
          <w:b/>
          <w:bCs/>
        </w:rPr>
        <w:t>So a robustness result measured here establishes robustness to those specific transforms, not to real-world capture.</w:t>
      </w:r>
      <w:r>
        <w:t xml:space="preserve"> Quote it that way. For photographed or scanned input, the SROIE figures are the better guide; for system-generated documents such as PDFs, rendered statements and invoices, these are. Neither corpus is our live document mix, so treat both as bounds rather than predictions.</w:t>
      </w:r>
    </w:p>
    <w:p w14:paraId="00DF3789" w14:textId="77777777" w:rsidR="00E12BB1" w:rsidRDefault="004D18D3">
      <w:r>
        <w:pict w14:anchorId="1DC1A6FA">
          <v:rect id="Horizontal Line 4" o:spid="_x0000_s1026"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1A8936E" w14:textId="77777777" w:rsidR="009E63B8" w:rsidRDefault="009E63B8">
      <w:pPr>
        <w:rPr>
          <w:rFonts w:asciiTheme="majorHAnsi" w:eastAsiaTheme="majorEastAsia" w:hAnsiTheme="majorHAnsi" w:cstheme="majorBidi"/>
          <w:color w:val="0F4761" w:themeColor="accent1" w:themeShade="BF"/>
          <w:sz w:val="32"/>
          <w:szCs w:val="32"/>
        </w:rPr>
      </w:pPr>
      <w:bookmarkStart w:id="8" w:name="_Toc237850587"/>
      <w:bookmarkStart w:id="9" w:name="throughput-figures"/>
      <w:bookmarkEnd w:id="7"/>
      <w:r>
        <w:br w:type="page"/>
      </w:r>
    </w:p>
    <w:p w14:paraId="0E62416A" w14:textId="58C466CC" w:rsidR="00E12BB1" w:rsidRDefault="00000000">
      <w:pPr>
        <w:pStyle w:val="Heading2"/>
      </w:pPr>
      <w:r>
        <w:lastRenderedPageBreak/>
        <w:t>Throughput figures</w:t>
      </w:r>
      <w:bookmarkEnd w:id="8"/>
    </w:p>
    <w:p w14:paraId="6A742D4A" w14:textId="77777777" w:rsidR="00E12BB1" w:rsidRDefault="00000000">
      <w:pPr>
        <w:pStyle w:val="FirstParagraph"/>
      </w:pPr>
      <w:r>
        <w:rPr>
          <w:rStyle w:val="VerbatimChar"/>
        </w:rPr>
        <w:t>Inference Time</w:t>
      </w:r>
      <w:r>
        <w:t xml:space="preserve"> counts model inference only; engine startup is reported separately and </w:t>
      </w:r>
      <w:r>
        <w:rPr>
          <w:rStyle w:val="VerbatimChar"/>
        </w:rPr>
        <w:t>Total Wall Clock</w:t>
      </w:r>
      <w:r>
        <w:t xml:space="preserve"> is the sum. Under data-parallel execution the inference figure is the slowest worker's total, not the sum across workers — summing would report total compute rather than elapsed time.</w:t>
      </w:r>
    </w:p>
    <w:p w14:paraId="05FA548E" w14:textId="77777777" w:rsidR="00E12BB1" w:rsidRDefault="00000000">
      <w:pPr>
        <w:pStyle w:val="BodyText"/>
      </w:pPr>
      <w:r>
        <w:rPr>
          <w:rStyle w:val="VerbatimChar"/>
        </w:rPr>
        <w:t>Timing Source</w:t>
      </w:r>
      <w:r>
        <w:t xml:space="preserve"> names where the figure came from. Only </w:t>
      </w:r>
      <w:r>
        <w:rPr>
          <w:rStyle w:val="VerbatimChar"/>
        </w:rPr>
        <w:t>stage timing (this run)</w:t>
      </w:r>
      <w:r>
        <w:t xml:space="preserve"> excludes startup and is data-parallel aware; the other sources are labelled so a number is never presented as more precise than it is.</w:t>
      </w:r>
      <w:bookmarkEnd w:id="1"/>
      <w:bookmarkEnd w:id="9"/>
    </w:p>
    <w:sectPr w:rsidR="00E12BB1">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1298C66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5889BC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753168399">
    <w:abstractNumId w:val="0"/>
  </w:num>
  <w:num w:numId="2" w16cid:durableId="1994212924">
    <w:abstractNumId w:val="1"/>
  </w:num>
  <w:num w:numId="3" w16cid:durableId="1666129742">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E12BB1"/>
    <w:rsid w:val="001B4E8C"/>
    <w:rsid w:val="004D18D3"/>
    <w:rsid w:val="007753CB"/>
    <w:rsid w:val="009E63B8"/>
    <w:rsid w:val="00B62DC9"/>
    <w:rsid w:val="00C974BB"/>
    <w:rsid w:val="00D07785"/>
    <w:rsid w:val="00E12B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0E22BA2B"/>
  <w15:docId w15:val="{352F1AE0-610E-874E-BAD2-F0E7C8F8A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9E63B8"/>
    <w:pPr>
      <w:spacing w:after="100"/>
    </w:pPr>
  </w:style>
  <w:style w:type="paragraph" w:styleId="TOC2">
    <w:name w:val="toc 2"/>
    <w:basedOn w:val="Normal"/>
    <w:next w:val="Normal"/>
    <w:autoRedefine/>
    <w:uiPriority w:val="39"/>
    <w:rsid w:val="009E63B8"/>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966</Words>
  <Characters>5509</Characters>
  <Application>Microsoft Office Word</Application>
  <DocSecurity>0</DocSecurity>
  <Lines>45</Lines>
  <Paragraphs>12</Paragraphs>
  <ScaleCrop>false</ScaleCrop>
  <Company/>
  <LinksUpToDate>false</LinksUpToDate>
  <CharactersWithSpaces>6463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Tod Nestor</cp:lastModifiedBy>
  <cp:revision>4</cp:revision>
  <dcterms:created xsi:type="dcterms:W3CDTF">2026-08-16T23:15:00Z</dcterms:created>
  <dcterms:modified xsi:type="dcterms:W3CDTF">2026-08-16T23:18:00Z</dcterms:modified>
</cp:coreProperties>
</file>