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model-comparison-summary"/>
    <w:p>
      <w:pPr>
        <w:pStyle w:val="Heading1"/>
      </w:pPr>
      <w:r>
        <w:t xml:space="preserve">Model Comparison Summary</w:t>
      </w:r>
    </w:p>
    <w:p>
      <w:pPr>
        <w:pStyle w:val="FirstParagraph"/>
      </w:pPr>
      <w:r>
        <w:rPr>
          <w:b/>
          <w:bCs/>
        </w:rPr>
        <w:t xml:space="preserve">InternVL3.5-8B vs LayoutLM</w:t>
      </w:r>
      <w:r>
        <w:t xml:space="preserve"> </w:t>
      </w:r>
      <w:r>
        <w:t xml:space="preserve">across 15 comparable document fields.</w:t>
      </w:r>
    </w:p>
    <w:bookmarkStart w:id="10" w:name="key-results"/>
    <w:p>
      <w:pPr>
        <w:pStyle w:val="Heading2"/>
      </w:pPr>
      <w:r>
        <w:t xml:space="preserve">Key Results</w:t>
      </w:r>
    </w:p>
    <w:p>
      <w:pPr>
        <w:pStyle w:val="FirstParagraph"/>
      </w:pPr>
      <w:r>
        <w:t xml:space="preserve">InternVL3.5-8B achieves</w:t>
      </w:r>
      <w:r>
        <w:t xml:space="preserve"> </w:t>
      </w:r>
      <w:r>
        <w:rPr>
          <w:b/>
          <w:bCs/>
        </w:rPr>
        <w:t xml:space="preserve">72.5% mean F1</w:t>
      </w:r>
      <w:r>
        <w:t xml:space="preserve"> </w:t>
      </w:r>
      <w:r>
        <w:t xml:space="preserve">compared to LayoutLM’s 54.6%—a</w:t>
      </w:r>
      <w:r>
        <w:t xml:space="preserve"> </w:t>
      </w:r>
      <w:r>
        <w:rPr>
          <w:b/>
          <w:bCs/>
        </w:rPr>
        <w:t xml:space="preserve">+17.9% improvement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F1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  <w:tc>
          <w:tcPr/>
          <w:p>
            <w:pPr>
              <w:pStyle w:val="Compact"/>
            </w:pPr>
            <w:r>
              <w:t xml:space="preserve">54.6%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Fields</w:t>
            </w:r>
          </w:p>
        </w:tc>
        <w:tc>
          <w:tcPr/>
          <w:p>
            <w:pPr>
              <w:pStyle w:val="Compact"/>
            </w:pPr>
            <w:r>
              <w:t xml:space="preserve">82.6%</w:t>
            </w:r>
          </w:p>
        </w:tc>
        <w:tc>
          <w:tcPr/>
          <w:p>
            <w:pPr>
              <w:pStyle w:val="Compact"/>
            </w:pPr>
            <w:r>
              <w:t xml:space="preserve">51.7%</w:t>
            </w:r>
          </w:p>
        </w:tc>
      </w:tr>
    </w:tbl>
    <w:bookmarkStart w:id="9" w:name="areas-for-improvement"/>
    <w:p>
      <w:pPr>
        <w:pStyle w:val="Heading3"/>
      </w:pPr>
      <w:r>
        <w:t xml:space="preserve">Areas for Improvement</w:t>
      </w:r>
    </w:p>
    <w:p>
      <w:pPr>
        <w:pStyle w:val="FirstParagraph"/>
      </w:pPr>
      <w:r>
        <w:t xml:space="preserve">InternVL3.5-8B underperforms LayoutLM on two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InternVL3.5-8B</w:t>
            </w:r>
          </w:p>
        </w:tc>
        <w:tc>
          <w:tcPr/>
          <w:p>
            <w:pPr>
              <w:pStyle w:val="Compact"/>
            </w:pPr>
            <w:r>
              <w:t xml:space="preserve">LayoutLM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29%</w:t>
            </w:r>
          </w:p>
        </w:tc>
        <w:tc>
          <w:tcPr/>
          <w:p>
            <w:pPr>
              <w:pStyle w:val="Compact"/>
            </w:pPr>
            <w:r>
              <w:t xml:space="preserve">51%</w:t>
            </w:r>
          </w:p>
        </w:tc>
        <w:tc>
          <w:tcPr/>
          <w:p>
            <w:pPr>
              <w:pStyle w:val="Compact"/>
            </w:pPr>
            <w:r>
              <w:t xml:space="preserve">-22%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44%</w:t>
            </w:r>
          </w:p>
        </w:tc>
        <w:tc>
          <w:tcPr/>
          <w:p>
            <w:pPr>
              <w:pStyle w:val="Compact"/>
            </w:pPr>
            <w:r>
              <w:t xml:space="preserve">56%</w:t>
            </w:r>
          </w:p>
        </w:tc>
        <w:tc>
          <w:tcPr/>
          <w:p>
            <w:pPr>
              <w:pStyle w:val="Compact"/>
            </w:pPr>
            <w:r>
              <w:t xml:space="preserve">-12%</w:t>
            </w:r>
          </w:p>
        </w:tc>
      </w:tr>
    </w:tbl>
    <w:bookmarkEnd w:id="9"/>
    <w:bookmarkEnd w:id="10"/>
    <w:bookmarkStart w:id="11" w:name="statistical-significance"/>
    <w:p>
      <w:pPr>
        <w:pStyle w:val="Heading2"/>
      </w:pPr>
      <w:r>
        <w:t xml:space="preserve">Statistical Significance</w:t>
      </w:r>
    </w:p>
    <w:p>
      <w:pPr>
        <w:pStyle w:val="FirstParagraph"/>
      </w:pPr>
      <w:r>
        <w:t xml:space="preserve">The improvement is statistically significant (p=0.0105) with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(Cohen’s d=0.83). The 95% confidence interval (+6% to +29%) excludes zero.</w:t>
      </w:r>
    </w:p>
    <w:bookmarkEnd w:id="11"/>
    <w:bookmarkStart w:id="12" w:name="additional-capabilities"/>
    <w:p>
      <w:pPr>
        <w:pStyle w:val="Heading2"/>
      </w:pPr>
      <w:r>
        <w:t xml:space="preserve">Additional Capabilities</w:t>
      </w:r>
    </w:p>
    <w:p>
      <w:pPr>
        <w:pStyle w:val="FirstParagraph"/>
      </w:pPr>
      <w:r>
        <w:t xml:space="preserve">InternVL3.5-8B exclusively supports DOCUMENT_TYPE (72.8%) and STATEMENT_DATE_RANGE (92.8%)—fields unavailable in LayoutLM—with 82.8% mean accuracy.</w:t>
      </w:r>
    </w:p>
    <w:bookmarkEnd w:id="12"/>
    <w:bookmarkStart w:id="15" w:name="schema-fields"/>
    <w:p>
      <w:pPr>
        <w:pStyle w:val="Heading2"/>
      </w:pPr>
      <w:r>
        <w:t xml:space="preserve">Schema Fields</w:t>
      </w:r>
    </w:p>
    <w:p>
      <w:pPr>
        <w:pStyle w:val="FirstParagraph"/>
      </w:pPr>
      <w:r>
        <w:t xml:space="preserve">The evaluation covers 17 fields extracted from business documents (invoices, receipts, bank statements):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DOCUMENT_TYPE</w:t>
            </w:r>
          </w:p>
        </w:tc>
        <w:tc>
          <w:tcPr/>
          <w:p>
            <w:pPr>
              <w:pStyle w:val="Compact"/>
            </w:pPr>
            <w:r>
              <w:t xml:space="preserve">Classification: Invoice, Receipt, or Bank Statement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BUSINESS_ABN</w:t>
            </w:r>
          </w:p>
        </w:tc>
        <w:tc>
          <w:tcPr/>
          <w:p>
            <w:pPr>
              <w:pStyle w:val="Compact"/>
            </w:pPr>
            <w:r>
              <w:t xml:space="preserve">Australian Business Number (11-digit identifier)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SUPPLIER_NAME</w:t>
            </w:r>
          </w:p>
        </w:tc>
        <w:tc>
          <w:tcPr/>
          <w:p>
            <w:pPr>
              <w:pStyle w:val="Compact"/>
            </w:pPr>
            <w:r>
              <w:t xml:space="preserve">Vendor or merchant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BUSINESS_ADDRESS</w:t>
            </w:r>
          </w:p>
        </w:tc>
        <w:tc>
          <w:tcPr/>
          <w:p>
            <w:pPr>
              <w:pStyle w:val="Compact"/>
            </w:pPr>
            <w:r>
              <w:t xml:space="preserve">Supplier’s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PAYER_NAME</w:t>
            </w:r>
          </w:p>
        </w:tc>
        <w:tc>
          <w:tcPr/>
          <w:p>
            <w:pPr>
              <w:pStyle w:val="Compact"/>
            </w:pPr>
            <w:r>
              <w:t xml:space="preserve">Customer or payer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PAYER_ADDRESS</w:t>
            </w:r>
          </w:p>
        </w:tc>
        <w:tc>
          <w:tcPr/>
          <w:p>
            <w:pPr>
              <w:pStyle w:val="Compact"/>
            </w:pPr>
            <w:r>
              <w:t xml:space="preserve">Customer’s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INVOICE_DATE</w:t>
            </w:r>
          </w:p>
        </w:tc>
        <w:tc>
          <w:tcPr/>
          <w:p>
            <w:pPr>
              <w:pStyle w:val="Compact"/>
            </w:pPr>
            <w:r>
              <w:t xml:space="preserve">Date of invoice or receipt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LINE_ITEM_DESCRIPTIONS</w:t>
            </w:r>
          </w:p>
        </w:tc>
        <w:tc>
          <w:tcPr/>
          <w:p>
            <w:pPr>
              <w:pStyle w:val="Compact"/>
            </w:pPr>
            <w:r>
              <w:t xml:space="preserve">Product/service descriptions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LINE_ITEM_QUANTITIES</w:t>
            </w:r>
          </w:p>
        </w:tc>
        <w:tc>
          <w:tcPr/>
          <w:p>
            <w:pPr>
              <w:pStyle w:val="Compact"/>
            </w:pPr>
            <w:r>
              <w:t xml:space="preserve">Quantities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LINE_ITEM_PRICES</w:t>
            </w:r>
          </w:p>
        </w:tc>
        <w:tc>
          <w:tcPr/>
          <w:p>
            <w:pPr>
              <w:pStyle w:val="Compact"/>
            </w:pPr>
            <w:r>
              <w:t xml:space="preserve">Unit prices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LINE_ITEM_TOTAL_PRICES</w:t>
            </w:r>
          </w:p>
        </w:tc>
        <w:tc>
          <w:tcPr/>
          <w:p>
            <w:pPr>
              <w:pStyle w:val="Compact"/>
            </w:pPr>
            <w:r>
              <w:t xml:space="preserve">Extended prices per line item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IS_GST_INCLUDED</w:t>
            </w:r>
          </w:p>
        </w:tc>
        <w:tc>
          <w:tcPr/>
          <w:p>
            <w:pPr>
              <w:pStyle w:val="Compact"/>
            </w:pPr>
            <w:r>
              <w:t xml:space="preserve">Whether GST is included in totals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GST_AMOUNT</w:t>
            </w:r>
          </w:p>
        </w:tc>
        <w:tc>
          <w:tcPr/>
          <w:p>
            <w:pPr>
              <w:pStyle w:val="Compact"/>
            </w:pPr>
            <w:r>
              <w:t xml:space="preserve">Goods and Services Tax 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TOTAL_AMOUNT</w:t>
            </w:r>
          </w:p>
        </w:tc>
        <w:tc>
          <w:tcPr/>
          <w:p>
            <w:pPr>
              <w:pStyle w:val="Compact"/>
            </w:pPr>
            <w:r>
              <w:t xml:space="preserve">Invoice/receipt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STATEMENT_DATE_RANGE</w:t>
            </w:r>
          </w:p>
        </w:tc>
        <w:tc>
          <w:tcPr/>
          <w:p>
            <w:pPr>
              <w:pStyle w:val="Compact"/>
            </w:pPr>
            <w:r>
              <w:t xml:space="preserve">Bank statement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TRANSACTION_DATES</w:t>
            </w:r>
          </w:p>
        </w:tc>
        <w:tc>
          <w:tcPr/>
          <w:p>
            <w:pPr>
              <w:pStyle w:val="Compact"/>
            </w:pPr>
            <w:r>
              <w:t xml:space="preserve">Dates of bank transactions (list)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TRANSACTION_AMOUNTS_PAID</w:t>
            </w:r>
          </w:p>
        </w:tc>
        <w:tc>
          <w:tcPr/>
          <w:p>
            <w:pPr>
              <w:pStyle w:val="Compact"/>
            </w:pPr>
            <w:r>
              <w:t xml:space="preserve">Transaction amounts (list)</w:t>
            </w:r>
          </w:p>
        </w:tc>
      </w:tr>
    </w:tbl>
    <w:bookmarkStart w:id="13" w:name="critical-fields"/>
    <w:p>
      <w:pPr>
        <w:pStyle w:val="Heading3"/>
      </w:pPr>
      <w:r>
        <w:t xml:space="preserve">Critical Fields</w:t>
      </w:r>
    </w:p>
    <w:p>
      <w:pPr>
        <w:pStyle w:val="FirstParagraph"/>
      </w:pPr>
      <w:r>
        <w:t xml:space="preserve">Four fields are designated as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due to their importance for financial reconciliation: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BUSINESS_ABN</w:t>
      </w:r>
      <w:r>
        <w:t xml:space="preserve">: Required for tax compliance and vendor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SUPPLIER_NAME</w:t>
      </w:r>
      <w:r>
        <w:t xml:space="preserve">: Essential for vendor matching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GST_AMOUNT</w:t>
      </w:r>
      <w:r>
        <w:t xml:space="preserve">: Required for GST/BAS reporting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TOTAL_AMOUNT</w:t>
      </w:r>
      <w:r>
        <w:t xml:space="preserve">: Core financial data for reconciliation</w:t>
      </w:r>
    </w:p>
    <w:bookmarkEnd w:id="13"/>
    <w:bookmarkStart w:id="14" w:name="field-categories-panel-b"/>
    <w:p>
      <w:pPr>
        <w:pStyle w:val="Heading3"/>
      </w:pPr>
      <w:r>
        <w:t xml:space="preserve">Field Categories (Panel B)</w:t>
      </w:r>
    </w:p>
    <w:p>
      <w:pPr>
        <w:pStyle w:val="FirstParagraph"/>
      </w:pPr>
      <w:r>
        <w:t xml:space="preserve">Fields are grouped into five categories for analysis: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DOCUMENT_TYPE*, BUSINESS_ABN, SUPPLIER_NAME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BUSINESS_ADDRESS, PAYER_NAME, PAYER_ADDRESS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INVOICE_DATE, STATEMENT_DATE_RANGE*, TRANSACTION_DATES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 Items</w:t>
            </w:r>
          </w:p>
        </w:tc>
        <w:tc>
          <w:tcPr/>
          <w:p>
            <w:pPr>
              <w:pStyle w:val="Compact"/>
            </w:pPr>
            <w:r>
              <w:t xml:space="preserve">LINE_ITEM_DESCRIPTIONS, LINE_ITEM_QUANTITIES, LINE_ITEM_PRICES, LINE_ITEM_TOTAL_PRICES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</w:t>
            </w:r>
          </w:p>
        </w:tc>
        <w:tc>
          <w:tcPr/>
          <w:p>
            <w:pPr>
              <w:pStyle w:val="Compact"/>
            </w:pPr>
            <w:r>
              <w:t xml:space="preserve">IS_GST_INCLUDED, GST_AMOUNT, TOTAL_AMOUNT, TRANSACTION_AMOUNTS_PAID</w:t>
            </w:r>
          </w:p>
        </w:tc>
      </w:tr>
    </w:tbl>
    <w:p>
      <w:pPr>
        <w:pStyle w:val="BodyText"/>
      </w:pPr>
      <w:r>
        <w:t xml:space="preserve">*Exclusive to InternVL3.5-8B</w:t>
      </w:r>
    </w:p>
    <w:bookmarkEnd w:id="14"/>
    <w:bookmarkEnd w:id="15"/>
    <w:bookmarkStart w:id="18" w:name="f1-calculation-methodology"/>
    <w:p>
      <w:pPr>
        <w:pStyle w:val="Heading2"/>
      </w:pPr>
      <w:r>
        <w:t xml:space="preserve">F1 Calculation Methodology</w:t>
      </w:r>
    </w:p>
    <w:p>
      <w:pPr>
        <w:pStyle w:val="FirstParagraph"/>
      </w:pPr>
      <w:r>
        <w:t xml:space="preserve">F1 scores for InternVL3.5-8B were computed using</w:t>
      </w:r>
      <w:r>
        <w:t xml:space="preserve"> </w:t>
      </w:r>
      <w:r>
        <w:rPr>
          <w:rStyle w:val="VerbatimChar"/>
        </w:rPr>
        <w:t xml:space="preserve">calculate_field_accuracy_f1()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position-aware matching</w:t>
      </w:r>
      <w:r>
        <w:t xml:space="preserve">:</w:t>
      </w:r>
    </w:p>
    <w:bookmarkStart w:id="16" w:name="single-value-fields"/>
    <w:p>
      <w:pPr>
        <w:pStyle w:val="Heading3"/>
      </w:pPr>
      <w:r>
        <w:t xml:space="preserve">Single-Value Fields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fields</w:t>
      </w:r>
      <w:r>
        <w:t xml:space="preserve"> </w:t>
      </w:r>
      <w:r>
        <w:t xml:space="preserve">(SUPPLIER_NAME, BUSINESS_ADDRESS): Levenshtein distance with 0.5 ANLS threshold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 fields</w:t>
      </w:r>
      <w:r>
        <w:t xml:space="preserve"> </w:t>
      </w:r>
      <w:r>
        <w:t xml:space="preserve">(BUSINESS_ABN): Exact match after normalization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Monetary fields</w:t>
      </w:r>
      <w:r>
        <w:t xml:space="preserve"> </w:t>
      </w:r>
      <w:r>
        <w:t xml:space="preserve">(TOTAL_AMOUNT, GST_AMOUNT): Numeric comparison with 1% tolerance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Date fields</w:t>
      </w:r>
      <w:r>
        <w:t xml:space="preserve"> </w:t>
      </w:r>
      <w:r>
        <w:t xml:space="preserve">(INVOICE_DATE): Semantic date parsing with format flexibility</w:t>
      </w:r>
    </w:p>
    <w:bookmarkEnd w:id="16"/>
    <w:bookmarkStart w:id="17" w:name="list-fields-pipe-separated-values"/>
    <w:p>
      <w:pPr>
        <w:pStyle w:val="Heading3"/>
      </w:pPr>
      <w:r>
        <w:t xml:space="preserve">List Fields (Pipe-Separated Values)</w:t>
      </w:r>
    </w:p>
    <w:p>
      <w:pPr>
        <w:pStyle w:val="FirstParagraph"/>
      </w:pPr>
      <w:r>
        <w:t xml:space="preserve">Uses</w:t>
      </w:r>
      <w:r>
        <w:t xml:space="preserve"> </w:t>
      </w:r>
      <w:r>
        <w:rPr>
          <w:b/>
          <w:bCs/>
        </w:rPr>
        <w:t xml:space="preserve">position-aware (order-aware)</w:t>
      </w:r>
      <w:r>
        <w:t xml:space="preserve"> </w:t>
      </w:r>
      <w:r>
        <w:t xml:space="preserve">matching where items must match both in value AND position: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TP</w:t>
      </w:r>
      <w:r>
        <w:t xml:space="preserve"> </w:t>
      </w:r>
      <w:r>
        <w:t xml:space="preserve">(True Positive): Items matching at same position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FP</w:t>
      </w:r>
      <w:r>
        <w:t xml:space="preserve"> </w:t>
      </w:r>
      <w:r>
        <w:t xml:space="preserve">(False Positive): Extra extracted items or mismatches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FN</w:t>
      </w:r>
      <w:r>
        <w:t xml:space="preserve"> </w:t>
      </w:r>
      <w:r>
        <w:t xml:space="preserve">(False Negative): Missing or mismatched ground truth items</w:t>
      </w:r>
    </w:p>
    <w:p>
      <w:pPr>
        <w:pStyle w:val="FirstParagraph"/>
      </w:pPr>
      <w:r>
        <w:rPr>
          <w:b/>
          <w:bCs/>
        </w:rPr>
        <w:t xml:space="preserve">Formulas:</w:t>
      </w:r>
      <w:r>
        <w:t xml:space="preserve"> </w:t>
      </w:r>
      <w:r>
        <w:t xml:space="preserve">- Precision = TP / (TP + FP)</w:t>
      </w:r>
      <w:r>
        <w:t xml:space="preserve"> </w:t>
      </w:r>
      <w:r>
        <w:t xml:space="preserve">- Recall = TP / (TP + FN)</w:t>
      </w:r>
      <w:r>
        <w:t xml:space="preserve"> </w:t>
      </w:r>
      <w:r>
        <w:t xml:space="preserve">- F1 = 2 × (Precision × Recall) / (Precision + Recall)</w:t>
      </w:r>
    </w:p>
    <w:p>
      <w:pPr>
        <w:pStyle w:val="BodyText"/>
      </w:pPr>
      <w:r>
        <w:t xml:space="preserve">This strict position-aware approach penalizes ordering errors, ensuring extracted line items align correctly with ground truth.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2025-12-17T02:26:12Z</dcterms:created>
  <dcterms:modified xsi:type="dcterms:W3CDTF">2025-12-17T02:26:12Z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