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odel-comparison-summary"/>
    <w:p>
      <w:pPr>
        <w:pStyle w:val="Heading1"/>
      </w:pPr>
      <w:r>
        <w:t xml:space="preserve">Model Comparison Summary</w:t>
      </w:r>
    </w:p>
    <w:p>
      <w:pPr>
        <w:pStyle w:val="FirstParagraph"/>
      </w:pPr>
      <w:r>
        <w:rPr>
          <w:b/>
          <w:bCs/>
        </w:rPr>
        <w:t xml:space="preserve">InternVL3.5-8B vs LayoutLM</w:t>
      </w:r>
      <w:r>
        <w:t xml:space="preserve"> </w:t>
      </w:r>
      <w:r>
        <w:t xml:space="preserve">across 15 comparable document fields.</w:t>
      </w:r>
    </w:p>
    <w:bookmarkStart w:id="10" w:name="key-results"/>
    <w:p>
      <w:pPr>
        <w:pStyle w:val="Heading2"/>
      </w:pPr>
      <w:r>
        <w:t xml:space="preserve">Key Results</w:t>
      </w:r>
    </w:p>
    <w:p>
      <w:pPr>
        <w:pStyle w:val="FirstParagraph"/>
      </w:pPr>
      <w:r>
        <w:t xml:space="preserve">InternVL3.5-8B achieves</w:t>
      </w:r>
      <w:r>
        <w:t xml:space="preserve"> </w:t>
      </w:r>
      <w:r>
        <w:rPr>
          <w:b/>
          <w:bCs/>
        </w:rPr>
        <w:t xml:space="preserve">72.5% mean F1</w:t>
      </w:r>
      <w:r>
        <w:t xml:space="preserve"> </w:t>
      </w:r>
      <w:r>
        <w:t xml:space="preserve">compared to LayoutLM’s 54.6%—a</w:t>
      </w:r>
      <w:r>
        <w:t xml:space="preserve"> </w:t>
      </w:r>
      <w:r>
        <w:rPr>
          <w:b/>
          <w:bCs/>
        </w:rPr>
        <w:t xml:space="preserve">+17.9% improvement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F1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  <w:tc>
          <w:tcPr/>
          <w:p>
            <w:pPr>
              <w:pStyle w:val="Compact"/>
            </w:pPr>
            <w:r>
              <w:t xml:space="preserve">54.6%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Fields</w:t>
            </w:r>
          </w:p>
        </w:tc>
        <w:tc>
          <w:tcPr/>
          <w:p>
            <w:pPr>
              <w:pStyle w:val="Compact"/>
            </w:pPr>
            <w:r>
              <w:t xml:space="preserve">82.6%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</w:tr>
    </w:tbl>
    <w:bookmarkStart w:id="9" w:name="areas-for-improvement"/>
    <w:p>
      <w:pPr>
        <w:pStyle w:val="Heading3"/>
      </w:pPr>
      <w:r>
        <w:t xml:space="preserve">Areas for Improvement</w:t>
      </w:r>
    </w:p>
    <w:p>
      <w:pPr>
        <w:pStyle w:val="FirstParagraph"/>
      </w:pPr>
      <w:r>
        <w:t xml:space="preserve">InternVL3.5-8B underperforms LayoutLM on two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51%</w:t>
            </w:r>
          </w:p>
        </w:tc>
        <w:tc>
          <w:tcPr/>
          <w:p>
            <w:pPr>
              <w:pStyle w:val="Compact"/>
            </w:pPr>
            <w:r>
              <w:t xml:space="preserve">-22%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44%</w:t>
            </w:r>
          </w:p>
        </w:tc>
        <w:tc>
          <w:tcPr/>
          <w:p>
            <w:pPr>
              <w:pStyle w:val="Compact"/>
            </w:pPr>
            <w:r>
              <w:t xml:space="preserve">56%</w:t>
            </w:r>
          </w:p>
        </w:tc>
        <w:tc>
          <w:tcPr/>
          <w:p>
            <w:pPr>
              <w:pStyle w:val="Compact"/>
            </w:pPr>
            <w:r>
              <w:t xml:space="preserve">-12%</w:t>
            </w:r>
          </w:p>
        </w:tc>
      </w:tr>
    </w:tbl>
    <w:bookmarkEnd w:id="9"/>
    <w:bookmarkEnd w:id="10"/>
    <w:bookmarkStart w:id="11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The improvement is statistically significant (p=0.0105) with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(Cohen’s d=0.83). The 95% confidence interval (+6% to +29%) excludes zero.</w:t>
      </w:r>
    </w:p>
    <w:bookmarkEnd w:id="11"/>
    <w:bookmarkStart w:id="12" w:name="additional-capabilities"/>
    <w:p>
      <w:pPr>
        <w:pStyle w:val="Heading2"/>
      </w:pPr>
      <w:r>
        <w:t xml:space="preserve">Additional Capabilities</w:t>
      </w:r>
    </w:p>
    <w:p>
      <w:pPr>
        <w:pStyle w:val="FirstParagraph"/>
      </w:pPr>
      <w:r>
        <w:t xml:space="preserve">InternVL3.5-8B exclusively supports DOCUMENT_TYPE (72.8%) and STATEMENT_DATE_RANGE (92.8%)—fields unavailable in LayoutLM—with 82.8% mean accuracy.</w:t>
      </w:r>
    </w:p>
    <w:bookmarkEnd w:id="12"/>
    <w:bookmarkStart w:id="15" w:name="f1-calculation-methodology"/>
    <w:p>
      <w:pPr>
        <w:pStyle w:val="Heading2"/>
      </w:pPr>
      <w:r>
        <w:t xml:space="preserve">F1 Calculation Methodology</w:t>
      </w:r>
    </w:p>
    <w:p>
      <w:pPr>
        <w:pStyle w:val="FirstParagraph"/>
      </w:pPr>
      <w:r>
        <w:t xml:space="preserve">F1 scores for InternVL3.5-8B were computed using</w:t>
      </w:r>
      <w:r>
        <w:t xml:space="preserve"> </w:t>
      </w:r>
      <w:r>
        <w:rPr>
          <w:rStyle w:val="VerbatimChar"/>
        </w:rPr>
        <w:t xml:space="preserve">calculate_field_accuracy_f1()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position-aware matching</w:t>
      </w:r>
      <w:r>
        <w:t xml:space="preserve">:</w:t>
      </w:r>
    </w:p>
    <w:bookmarkStart w:id="13" w:name="single-value-fields"/>
    <w:p>
      <w:pPr>
        <w:pStyle w:val="Heading3"/>
      </w:pPr>
      <w:r>
        <w:t xml:space="preserve">Single-Value Fields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fields</w:t>
      </w:r>
      <w:r>
        <w:t xml:space="preserve"> </w:t>
      </w:r>
      <w:r>
        <w:t xml:space="preserve">(SUPPLIER_NAME, BUSINESS_ADDRESS): Levenshtein distance with 0.5 ANLS threshold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fields</w:t>
      </w:r>
      <w:r>
        <w:t xml:space="preserve"> </w:t>
      </w:r>
      <w:r>
        <w:t xml:space="preserve">(BUSINESS_ABN): Exact match after normalization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Monetary fields</w:t>
      </w:r>
      <w:r>
        <w:t xml:space="preserve"> </w:t>
      </w:r>
      <w:r>
        <w:t xml:space="preserve">(TOTAL_AMOUNT, GST_AMOUNT): Numeric comparison with 1% tolerance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fields</w:t>
      </w:r>
      <w:r>
        <w:t xml:space="preserve"> </w:t>
      </w:r>
      <w:r>
        <w:t xml:space="preserve">(INVOICE_DATE): Semantic date parsing with format flexibility</w:t>
      </w:r>
    </w:p>
    <w:bookmarkEnd w:id="13"/>
    <w:bookmarkStart w:id="14" w:name="list-fields-pipe-separated-values"/>
    <w:p>
      <w:pPr>
        <w:pStyle w:val="Heading3"/>
      </w:pPr>
      <w:r>
        <w:t xml:space="preserve">List Fields (Pipe-Separated Values)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position-aware (order-aware)</w:t>
      </w:r>
      <w:r>
        <w:t xml:space="preserve"> </w:t>
      </w:r>
      <w:r>
        <w:t xml:space="preserve">matching where items must match both in value AND position: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TP</w:t>
      </w:r>
      <w:r>
        <w:t xml:space="preserve"> </w:t>
      </w:r>
      <w:r>
        <w:t xml:space="preserve">(True Positive): Items matching at same 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FP</w:t>
      </w:r>
      <w:r>
        <w:t xml:space="preserve"> </w:t>
      </w:r>
      <w:r>
        <w:t xml:space="preserve">(False Positive): Extra extracted items or mismatches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FN</w:t>
      </w:r>
      <w:r>
        <w:t xml:space="preserve"> </w:t>
      </w:r>
      <w:r>
        <w:t xml:space="preserve">(False Negative): Missing or mismatched ground truth items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- Precision = TP / (TP + FP)</w:t>
      </w:r>
      <w:r>
        <w:t xml:space="preserve"> </w:t>
      </w:r>
      <w:r>
        <w:t xml:space="preserve">- Recall = TP / (TP + FN)</w:t>
      </w:r>
      <w:r>
        <w:t xml:space="preserve"> </w:t>
      </w:r>
      <w:r>
        <w:t xml:space="preserve">- F1 = 2 × (Precision × Recall) / (Precision + Recall)</w:t>
      </w:r>
    </w:p>
    <w:p>
      <w:pPr>
        <w:pStyle w:val="BodyText"/>
      </w:pPr>
      <w:r>
        <w:t xml:space="preserve">This strict position-aware approach penalizes ordering errors, ensuring extracted line items align correctly with ground truth.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2025-12-17T02:07:58Z</dcterms:created>
  <dcterms:modified xsi:type="dcterms:W3CDTF">2025-12-17T02:07:58Z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