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odel-comparison-summary"/>
    <w:p>
      <w:pPr>
        <w:pStyle w:val="Heading1"/>
      </w:pPr>
      <w:r>
        <w:t xml:space="preserve">Model Comparison Summary</w:t>
      </w:r>
    </w:p>
    <w:p>
      <w:pPr>
        <w:pStyle w:val="FirstParagraph"/>
      </w:pPr>
      <w:r>
        <w:rPr>
          <w:b/>
          <w:bCs/>
        </w:rPr>
        <w:t xml:space="preserve">InternVL3.5-8B vs LayoutLM</w:t>
      </w:r>
      <w:r>
        <w:t xml:space="preserve"> </w:t>
      </w:r>
      <w:r>
        <w:t xml:space="preserve">across 15 comparable document fields.</w:t>
      </w:r>
    </w:p>
    <w:bookmarkStart w:id="10" w:name="key-results"/>
    <w:p>
      <w:pPr>
        <w:pStyle w:val="Heading2"/>
      </w:pPr>
      <w:r>
        <w:t xml:space="preserve">Key Results</w:t>
      </w:r>
    </w:p>
    <w:p>
      <w:pPr>
        <w:pStyle w:val="FirstParagraph"/>
      </w:pPr>
      <w:r>
        <w:t xml:space="preserve">InternVL3.5-8B achieves</w:t>
      </w:r>
      <w:r>
        <w:t xml:space="preserve"> </w:t>
      </w:r>
      <w:r>
        <w:rPr>
          <w:b/>
          <w:bCs/>
        </w:rPr>
        <w:t xml:space="preserve">72.5% mean F1</w:t>
      </w:r>
      <w:r>
        <w:t xml:space="preserve"> </w:t>
      </w:r>
      <w:r>
        <w:t xml:space="preserve">compared to LayoutLM’s 54.6%—a</w:t>
      </w:r>
      <w:r>
        <w:t xml:space="preserve"> </w:t>
      </w:r>
      <w:r>
        <w:rPr>
          <w:b/>
          <w:bCs/>
        </w:rPr>
        <w:t xml:space="preserve">+17.9% improvement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  <w:tc>
          <w:tcPr/>
          <w:p>
            <w:pPr>
              <w:pStyle w:val="Compact"/>
            </w:pPr>
            <w:r>
              <w:t xml:space="preserve">54.6%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Fields</w:t>
            </w:r>
          </w:p>
        </w:tc>
        <w:tc>
          <w:tcPr/>
          <w:p>
            <w:pPr>
              <w:pStyle w:val="Compact"/>
            </w:pPr>
            <w:r>
              <w:t xml:space="preserve">82.6%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</w:tr>
    </w:tbl>
    <w:bookmarkStart w:id="9" w:name="areas-for-improvement"/>
    <w:p>
      <w:pPr>
        <w:pStyle w:val="Heading3"/>
      </w:pPr>
      <w:r>
        <w:t xml:space="preserve">Areas for Improvement</w:t>
      </w:r>
    </w:p>
    <w:p>
      <w:pPr>
        <w:pStyle w:val="FirstParagraph"/>
      </w:pPr>
      <w:r>
        <w:t xml:space="preserve">InternVL3.5-8B underperforms LayoutLM on two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  <w:tc>
          <w:tcPr/>
          <w:p>
            <w:pPr>
              <w:pStyle w:val="Compact"/>
            </w:pPr>
            <w:r>
              <w:t xml:space="preserve">-22%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-12%</w:t>
            </w:r>
          </w:p>
        </w:tc>
      </w:tr>
    </w:tbl>
    <w:bookmarkEnd w:id="9"/>
    <w:bookmarkEnd w:id="10"/>
    <w:bookmarkStart w:id="11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The improvement is statistically significant (p=0.0105) with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(Cohen’s d=0.83). The 95% confidence interval (+6% to +29%) excludes zero.</w:t>
      </w:r>
    </w:p>
    <w:bookmarkEnd w:id="11"/>
    <w:bookmarkStart w:id="12" w:name="additional-capabilities"/>
    <w:p>
      <w:pPr>
        <w:pStyle w:val="Heading2"/>
      </w:pPr>
      <w:r>
        <w:t xml:space="preserve">Additional Capabilities</w:t>
      </w:r>
    </w:p>
    <w:p>
      <w:pPr>
        <w:pStyle w:val="FirstParagraph"/>
      </w:pPr>
      <w:r>
        <w:t xml:space="preserve">InternVL3.5-8B exclusively supports DOCUMENT_TYPE (72.8%) and STATEMENT_DATE_RANGE (92.8%)—fields unavailable in LayoutLM—with 82.8% mean accuracy.</w:t>
      </w:r>
    </w:p>
    <w:bookmarkEnd w:id="12"/>
    <w:bookmarkStart w:id="15" w:name="schema-fields"/>
    <w:p>
      <w:pPr>
        <w:pStyle w:val="Heading2"/>
      </w:pPr>
      <w:r>
        <w:t xml:space="preserve">Schema Fields</w:t>
      </w:r>
    </w:p>
    <w:p>
      <w:pPr>
        <w:pStyle w:val="FirstParagraph"/>
      </w:pPr>
      <w:r>
        <w:t xml:space="preserve">The evaluation covers 17 fields extracted from business documents (invoices, receipts, bank statements):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Classification: Invoice, Receipt, or Bank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BUSINESS_ABN</w:t>
            </w:r>
          </w:p>
        </w:tc>
        <w:tc>
          <w:tcPr/>
          <w:p>
            <w:pPr>
              <w:pStyle w:val="Compact"/>
            </w:pPr>
            <w:r>
              <w:t xml:space="preserve">Australian Business Number (11-digit identifier)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Vendor or merchant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BUSINESS_ADDRESS</w:t>
            </w:r>
          </w:p>
        </w:tc>
        <w:tc>
          <w:tcPr/>
          <w:p>
            <w:pPr>
              <w:pStyle w:val="Compact"/>
            </w:pPr>
            <w:r>
              <w:t xml:space="preserve">Supplier’s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PAYER_NAME</w:t>
            </w:r>
          </w:p>
        </w:tc>
        <w:tc>
          <w:tcPr/>
          <w:p>
            <w:pPr>
              <w:pStyle w:val="Compact"/>
            </w:pPr>
            <w:r>
              <w:t xml:space="preserve">Customer or payer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PAYER_ADDRESS</w:t>
            </w:r>
          </w:p>
        </w:tc>
        <w:tc>
          <w:tcPr/>
          <w:p>
            <w:pPr>
              <w:pStyle w:val="Compact"/>
            </w:pPr>
            <w:r>
              <w:t xml:space="preserve">Customer’s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INVOICE_DATE</w:t>
            </w:r>
          </w:p>
        </w:tc>
        <w:tc>
          <w:tcPr/>
          <w:p>
            <w:pPr>
              <w:pStyle w:val="Compact"/>
            </w:pPr>
            <w:r>
              <w:t xml:space="preserve">Date of invoice or receipt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Product/service descriptions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LINE_ITEM_QUANTITIES</w:t>
            </w:r>
          </w:p>
        </w:tc>
        <w:tc>
          <w:tcPr/>
          <w:p>
            <w:pPr>
              <w:pStyle w:val="Compact"/>
            </w:pPr>
            <w:r>
              <w:t xml:space="preserve">Quantities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LINE_ITEM_PRICES</w:t>
            </w:r>
          </w:p>
        </w:tc>
        <w:tc>
          <w:tcPr/>
          <w:p>
            <w:pPr>
              <w:pStyle w:val="Compact"/>
            </w:pPr>
            <w:r>
              <w:t xml:space="preserve">Unit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Extended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IS_GST_INCLUDED</w:t>
            </w:r>
          </w:p>
        </w:tc>
        <w:tc>
          <w:tcPr/>
          <w:p>
            <w:pPr>
              <w:pStyle w:val="Compact"/>
            </w:pPr>
            <w:r>
              <w:t xml:space="preserve">Whether GST is included in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GST_AMOUNT</w:t>
            </w:r>
          </w:p>
        </w:tc>
        <w:tc>
          <w:tcPr/>
          <w:p>
            <w:pPr>
              <w:pStyle w:val="Compact"/>
            </w:pPr>
            <w:r>
              <w:t xml:space="preserve">Goods and Services Tax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</w:pPr>
            <w:r>
              <w:t xml:space="preserve">Invoice/receipt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STATEMENT_DATE_RANGE</w:t>
            </w:r>
          </w:p>
        </w:tc>
        <w:tc>
          <w:tcPr/>
          <w:p>
            <w:pPr>
              <w:pStyle w:val="Compact"/>
            </w:pPr>
            <w:r>
              <w:t xml:space="preserve">Bank statement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TRANSACTION_DATES</w:t>
            </w:r>
          </w:p>
        </w:tc>
        <w:tc>
          <w:tcPr/>
          <w:p>
            <w:pPr>
              <w:pStyle w:val="Compact"/>
            </w:pPr>
            <w:r>
              <w:t xml:space="preserve">Dates of bank transactions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TRANSACTION_AMOUNTS_PAID</w:t>
            </w:r>
          </w:p>
        </w:tc>
        <w:tc>
          <w:tcPr/>
          <w:p>
            <w:pPr>
              <w:pStyle w:val="Compact"/>
            </w:pPr>
            <w:r>
              <w:t xml:space="preserve">Transaction amounts (list)</w:t>
            </w:r>
          </w:p>
        </w:tc>
      </w:tr>
    </w:tbl>
    <w:bookmarkStart w:id="13" w:name="critical-fields"/>
    <w:p>
      <w:pPr>
        <w:pStyle w:val="Heading3"/>
      </w:pPr>
      <w:r>
        <w:t xml:space="preserve">Critical Fields</w:t>
      </w:r>
    </w:p>
    <w:p>
      <w:pPr>
        <w:pStyle w:val="FirstParagraph"/>
      </w:pPr>
      <w:r>
        <w:t xml:space="preserve">Four fields are designated as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due to their importance for financial reconciliation: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BUSINESS_ABN</w:t>
      </w:r>
      <w:r>
        <w:t xml:space="preserve">: Required for tax compliance and vendor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SUPPLIER_NAME</w:t>
      </w:r>
      <w:r>
        <w:t xml:space="preserve">: Essential for vendor matching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GST_AMOUNT</w:t>
      </w:r>
      <w:r>
        <w:t xml:space="preserve">: Required for GST/BAS reporting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TOTAL_AMOUNT</w:t>
      </w:r>
      <w:r>
        <w:t xml:space="preserve">: Core financial data for reconciliation</w:t>
      </w:r>
    </w:p>
    <w:bookmarkEnd w:id="13"/>
    <w:bookmarkStart w:id="14" w:name="field-categories-panel-b"/>
    <w:p>
      <w:pPr>
        <w:pStyle w:val="Heading3"/>
      </w:pPr>
      <w:r>
        <w:t xml:space="preserve">Field Categories (Panel B)</w:t>
      </w:r>
    </w:p>
    <w:p>
      <w:pPr>
        <w:pStyle w:val="FirstParagraph"/>
      </w:pPr>
      <w:r>
        <w:t xml:space="preserve">Fields are grouped into five categories for analysis: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DOCUMENT_TYPE*, BUSINESS_ABN, SUPPLIER_NAME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BUSINESS_ADDRESS, PAYER_NAME, PAYER_ADDRESS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INVOICE_DATE, STATEMENT_DATE_RANGE*, TRANSACTION_DATES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 Items</w:t>
            </w:r>
          </w:p>
        </w:tc>
        <w:tc>
          <w:tcPr/>
          <w:p>
            <w:pPr>
              <w:pStyle w:val="Compact"/>
            </w:pPr>
            <w:r>
              <w:t xml:space="preserve">LINE_ITEM_DESCRIPTIONS, LINE_ITEM_QUANTITIES, LINE_ITEM_PRICES, LINE_ITEM_TOTAL_PRICES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IS_GST_INCLUDED, GST_AMOUNT, TOTAL_AMOUNT, TRANSACTION_AMOUNTS_PAID</w:t>
            </w:r>
          </w:p>
        </w:tc>
      </w:tr>
    </w:tbl>
    <w:p>
      <w:pPr>
        <w:pStyle w:val="BodyText"/>
      </w:pPr>
      <w:r>
        <w:t xml:space="preserve">*Exclusive to InternVL3.5-8B</w:t>
      </w:r>
    </w:p>
    <w:bookmarkEnd w:id="14"/>
    <w:bookmarkEnd w:id="15"/>
    <w:bookmarkStart w:id="19" w:name="accuracy-vs-f1-understanding-the-metrics"/>
    <w:p>
      <w:pPr>
        <w:pStyle w:val="Heading2"/>
      </w:pPr>
      <w:r>
        <w:t xml:space="preserve">Accuracy vs F1: Understanding the Metrics</w:t>
      </w:r>
    </w:p>
    <w:p>
      <w:pPr>
        <w:pStyle w:val="FirstParagraph"/>
      </w:pPr>
      <w:r>
        <w:t xml:space="preserve">This report uses two distinct evaluation metrics that serve different purposes:</w:t>
      </w:r>
    </w:p>
    <w:bookmarkStart w:id="16" w:name="document-level-accuracy-overall_accuracy"/>
    <w:p>
      <w:pPr>
        <w:pStyle w:val="Heading3"/>
      </w:pPr>
      <w:r>
        <w:t xml:space="preserve">Document-Level Accuracy (</w:t>
      </w:r>
      <w:r>
        <w:rPr>
          <w:rStyle w:val="VerbatimChar"/>
        </w:rPr>
        <w:t xml:space="preserve">overall_accuracy</w:t>
      </w:r>
      <w:r>
        <w:t xml:space="preserve">)</w:t>
      </w:r>
    </w:p>
    <w:p>
      <w:pPr>
        <w:pStyle w:val="FirstParagraph"/>
      </w:pPr>
      <w:r>
        <w:t xml:space="preserve">Used in:</w:t>
      </w:r>
      <w:r>
        <w:t xml:space="preserve"> </w:t>
      </w:r>
      <w:r>
        <w:rPr>
          <w:b/>
          <w:bCs/>
        </w:rPr>
        <w:t xml:space="preserve">Executive Dashboard</w:t>
      </w:r>
      <w:r>
        <w:t xml:space="preserve">,</w:t>
      </w:r>
      <w:r>
        <w:t xml:space="preserve"> </w:t>
      </w:r>
      <w:r>
        <w:rPr>
          <w:b/>
          <w:bCs/>
        </w:rPr>
        <w:t xml:space="preserve">Summary Statistics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Definition</w:t>
      </w:r>
      <w:r>
        <w:t xml:space="preserve">: Percentage of fields correctly extracted per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(fields_matched / total_fields) × 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: Evaluates complete document extraction quality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Scale</w:t>
      </w:r>
      <w:r>
        <w:t xml:space="preserve">: 0-100%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case</w:t>
      </w:r>
      <w:r>
        <w:t xml:space="preserve">: Quick comparison of overall model performance</w:t>
      </w:r>
    </w:p>
    <w:bookmarkEnd w:id="16"/>
    <w:bookmarkStart w:id="17" w:name="per-field-f1-score"/>
    <w:p>
      <w:pPr>
        <w:pStyle w:val="Heading3"/>
      </w:pPr>
      <w:r>
        <w:t xml:space="preserve">Per-Field F1 Score</w:t>
      </w:r>
    </w:p>
    <w:p>
      <w:pPr>
        <w:pStyle w:val="FirstParagraph"/>
      </w:pPr>
      <w:r>
        <w:t xml:space="preserve">Used in:</w:t>
      </w:r>
      <w:r>
        <w:t xml:space="preserve"> </w:t>
      </w:r>
      <w:r>
        <w:rPr>
          <w:b/>
          <w:bCs/>
        </w:rPr>
        <w:t xml:space="preserve">Detailed Field Analysis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 Comparisons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Definition</w:t>
      </w:r>
      <w:r>
        <w:t xml:space="preserve">: Harmonic mean of Precision and Recall computed per field type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F1 = 2 × (Precision × Recall) / (Precision + Recall)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</w:t>
      </w:r>
      <w:r>
        <w:t xml:space="preserve">: Evaluates extraction quality for each specific field (e.g., SUPPLIER_NAME, TOTAL_AMOUNT)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</w:t>
      </w:r>
      <w:r>
        <w:t xml:space="preserve">: 0-100%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 case</w:t>
      </w:r>
      <w:r>
        <w:t xml:space="preserve">: Identifying which fields perform well vs need improvement</w:t>
      </w:r>
    </w:p>
    <w:bookmarkEnd w:id="17"/>
    <w:bookmarkStart w:id="18" w:name="why-these-metrics-differ"/>
    <w:p>
      <w:pPr>
        <w:pStyle w:val="Heading3"/>
      </w:pPr>
      <w:r>
        <w:t xml:space="preserve">Why These Metrics Differ</w:t>
      </w:r>
    </w:p>
    <w:p>
      <w:pPr>
        <w:pStyle w:val="FirstParagraph"/>
      </w:pPr>
      <w:r>
        <w:t xml:space="preserve">The same model may show different values for Accuracy vs F1 because: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Aggregation level</w:t>
      </w:r>
      <w:r>
        <w:t xml:space="preserve">: Accuracy averages across documents; F1 averages across field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Field weighting</w:t>
      </w:r>
      <w:r>
        <w:t xml:space="preserve">: Accuracy weights all fields equally per document; F1 treats each field type independently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List fields impact</w:t>
      </w:r>
      <w:r>
        <w:t xml:space="preserve">: Position-aware F1 for list fields (LINE_ITEM_*) can be stricter than document accuracy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A model might achieve 85% document accuracy but 72% mean F1 if it struggles with specific field types like LINE_ITEM_TOTAL_PRICES.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1-calculation-methodology"/>
    <w:p>
      <w:pPr>
        <w:pStyle w:val="Heading2"/>
      </w:pPr>
      <w:r>
        <w:t xml:space="preserve">F1 Calculation Methodology</w:t>
      </w:r>
    </w:p>
    <w:p>
      <w:pPr>
        <w:pStyle w:val="FirstParagraph"/>
      </w:pPr>
      <w:r>
        <w:t xml:space="preserve">F1 scores for InternVL3.5-8B were computed using</w:t>
      </w:r>
      <w:r>
        <w:t xml:space="preserve"> </w:t>
      </w:r>
      <w:r>
        <w:rPr>
          <w:rStyle w:val="VerbatimChar"/>
        </w:rPr>
        <w:t xml:space="preserve">calculate_field_accuracy_f1()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position-aware matching</w:t>
      </w:r>
      <w:r>
        <w:t xml:space="preserve">:</w:t>
      </w:r>
    </w:p>
    <w:bookmarkStart w:id="20" w:name="single-value-fields"/>
    <w:p>
      <w:pPr>
        <w:pStyle w:val="Heading3"/>
      </w:pPr>
      <w:r>
        <w:t xml:space="preserve">Single-Value Fields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 fields</w:t>
      </w:r>
      <w:r>
        <w:t xml:space="preserve"> </w:t>
      </w:r>
      <w:r>
        <w:t xml:space="preserve">(SUPPLIER_NAME, BUSINESS_ADDRESS): Levenshtein distance with 0.5 ANLS threshold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 fields</w:t>
      </w:r>
      <w:r>
        <w:t xml:space="preserve"> </w:t>
      </w:r>
      <w:r>
        <w:t xml:space="preserve">(BUSINESS_ABN): Exact match after normalization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Monetary fields</w:t>
      </w:r>
      <w:r>
        <w:t xml:space="preserve"> </w:t>
      </w:r>
      <w:r>
        <w:t xml:space="preserve">(TOTAL_AMOUNT, GST_AMOUNT): Numeric comparison with 1% tolerance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Date fields</w:t>
      </w:r>
      <w:r>
        <w:t xml:space="preserve"> </w:t>
      </w:r>
      <w:r>
        <w:t xml:space="preserve">(INVOICE_DATE): Semantic date parsing with format flexibility</w:t>
      </w:r>
    </w:p>
    <w:bookmarkEnd w:id="20"/>
    <w:bookmarkStart w:id="21" w:name="list-fields-pipe-separated-values"/>
    <w:p>
      <w:pPr>
        <w:pStyle w:val="Heading3"/>
      </w:pPr>
      <w:r>
        <w:t xml:space="preserve">List Fields (Pipe-Separated Values)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position-aware (order-aware)</w:t>
      </w:r>
      <w:r>
        <w:t xml:space="preserve"> </w:t>
      </w:r>
      <w:r>
        <w:t xml:space="preserve">matching where items must match both in value AND position: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Items matching at same 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Extra extracted items or mismatches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Missing or mismatched ground truth items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 Precision = TP / (TP + FP)</w:t>
      </w:r>
      <w:r>
        <w:t xml:space="preserve"> </w:t>
      </w:r>
      <w:r>
        <w:t xml:space="preserve">- Recall = TP / (TP + FN)</w:t>
      </w:r>
      <w:r>
        <w:t xml:space="preserve"> </w:t>
      </w:r>
      <w:r>
        <w:t xml:space="preserve">- F1 = 2 × (Precision × Recall) / (Precision + Recall)</w:t>
      </w:r>
    </w:p>
    <w:p>
      <w:pPr>
        <w:pStyle w:val="BodyText"/>
      </w:pPr>
      <w:r>
        <w:t xml:space="preserve">This strict position-aware approach penalizes ordering errors, ensuring extracted line items align correctly with ground truth.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2025-12-17T21:30:07Z</dcterms:created>
  <dcterms:modified xsi:type="dcterms:W3CDTF">2025-12-17T21:30:07Z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