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f8a8fc24c74d65d753760f2e3f87989c969a2e"/>
    <w:p>
      <w:pPr>
        <w:pStyle w:val="Heading1"/>
      </w:pPr>
      <w:r>
        <w:t xml:space="preserve">Appendix B: Vision-Language Model Architectures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appendix describes the three Vision-Language Models (VLMs) evaluated in this study for business document information extraction. All models follow the common VLM paradigm: a vision encoder processes image patches into embeddings, which are then projected and concatenated with text embeddings for processing by a large language model.</w:t>
      </w:r>
    </w:p>
    <w:p>
      <w:r>
        <w:pict>
          <v:rect style="width:0;height:1.5pt" o:hralign="center" o:hrstd="t" o:hr="t"/>
        </w:pict>
      </w:r>
    </w:p>
    <w:bookmarkEnd w:id="9"/>
    <w:bookmarkStart w:id="14" w:name="b.1-llama-3.2-vision-11b"/>
    <w:p>
      <w:pPr>
        <w:pStyle w:val="Heading2"/>
      </w:pPr>
      <w:r>
        <w:t xml:space="preserve">B.1 Llama-3.2-Vision-11B</w:t>
      </w:r>
    </w:p>
    <w:bookmarkStart w:id="10" w:name="architecture"/>
    <w:p>
      <w:pPr>
        <w:pStyle w:val="Heading3"/>
      </w:pPr>
      <w:r>
        <w:t xml:space="preserve">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Vision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ViT-H/14 (630M parameters)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Llama-3.2 (10.6B parameters)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Vision-Language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Cross-attention adapter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1120 x 1120 pixels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 tokens</w:t>
            </w:r>
          </w:p>
        </w:tc>
      </w:tr>
    </w:tbl>
    <w:bookmarkEnd w:id="10"/>
    <w:bookmarkStart w:id="11" w:name="key-features"/>
    <w:p>
      <w:pPr>
        <w:pStyle w:val="Heading3"/>
      </w:pPr>
      <w:r>
        <w:t xml:space="preserve">Key Features</w:t>
      </w:r>
    </w:p>
    <w:p>
      <w:pPr>
        <w:pStyle w:val="FirstParagraph"/>
      </w:pPr>
      <w:r>
        <w:rPr>
          <w:b/>
          <w:bCs/>
        </w:rPr>
        <w:t xml:space="preserve">Cross-Attention Integration</w:t>
      </w:r>
      <w:r>
        <w:t xml:space="preserve">: Unlike many VLMs that simply concatenate visual and text tokens, Llama-3.2-Vision uses dedicated cross-attention layers that allow the language model to selectively attend to relevant image regions. This enables more nuanced visual grounding.</w:t>
      </w:r>
    </w:p>
    <w:p>
      <w:pPr>
        <w:pStyle w:val="BodyText"/>
      </w:pPr>
      <w:r>
        <w:rPr>
          <w:b/>
          <w:bCs/>
        </w:rPr>
        <w:t xml:space="preserve">Built-in Image Preprocessing</w:t>
      </w:r>
      <w:r>
        <w:t xml:space="preserve">: The model includes native image preprocessing that handles resizing, normalization, and patch extraction without external dependencies. This simplifies deployment and ensures consistent image handling.</w:t>
      </w:r>
    </w:p>
    <w:p>
      <w:pPr>
        <w:pStyle w:val="BodyText"/>
      </w:pPr>
      <w:r>
        <w:rPr>
          <w:b/>
          <w:bCs/>
        </w:rPr>
        <w:t xml:space="preserve">Multi-Turn Conversation</w:t>
      </w:r>
      <w:r>
        <w:t xml:space="preserve">: Supports interleaved image-text conversations, allowing follow-up questions about previously shown images—useful for iterative document analysis.</w:t>
      </w:r>
    </w:p>
    <w:bookmarkEnd w:id="11"/>
    <w:bookmarkStart w:id="12" w:name="memory-requirements"/>
    <w:p>
      <w:pPr>
        <w:pStyle w:val="Heading3"/>
      </w:pPr>
      <w:r>
        <w:t xml:space="preserve">Memory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INT8 (quantized)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INT4 (quantized)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 GB</w:t>
            </w:r>
          </w:p>
        </w:tc>
      </w:tr>
    </w:tbl>
    <w:bookmarkEnd w:id="12"/>
    <w:bookmarkStart w:id="13" w:name="reference"/>
    <w:p>
      <w:pPr>
        <w:pStyle w:val="Heading3"/>
      </w:pPr>
      <w:r>
        <w:t xml:space="preserve">Reference</w:t>
      </w:r>
    </w:p>
    <w:p>
      <w:pPr>
        <w:pStyle w:val="FirstParagraph"/>
      </w:pPr>
      <w:r>
        <w:t xml:space="preserve">Meta AI. (2024).</w:t>
      </w:r>
      <w:r>
        <w:t xml:space="preserve"> </w:t>
      </w:r>
      <w:r>
        <w:rPr>
          <w:i/>
          <w:iCs/>
        </w:rPr>
        <w:t xml:space="preserve">Llama 3.2: Revolutionizing edge AI and vision with open, customizable models</w:t>
      </w:r>
      <w:r>
        <w:t xml:space="preserve">. https://ai.meta.com/blog/llama-3-2-connect-2024-vision-edge-mobile-devices/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b.2-internvl3-2b"/>
    <w:p>
      <w:pPr>
        <w:pStyle w:val="Heading2"/>
      </w:pPr>
      <w:r>
        <w:t xml:space="preserve">B.2 InternVL3-2B</w:t>
      </w:r>
    </w:p>
    <w:bookmarkStart w:id="15" w:name="architecture-1"/>
    <w:p>
      <w:pPr>
        <w:pStyle w:val="Heading3"/>
      </w:pPr>
      <w:r>
        <w:t xml:space="preserve">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Vision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InternViT-300M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InternLM2-1.8B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Vision-Language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 Projector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4K pixels (via tiling)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Image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(default), configurable</w:t>
            </w:r>
          </w:p>
        </w:tc>
      </w:tr>
    </w:tbl>
    <w:bookmarkEnd w:id="15"/>
    <w:bookmarkStart w:id="16" w:name="key-features-1"/>
    <w:p>
      <w:pPr>
        <w:pStyle w:val="Heading3"/>
      </w:pPr>
      <w:r>
        <w:t xml:space="preserve">Key Features</w:t>
      </w:r>
    </w:p>
    <w:p>
      <w:pPr>
        <w:pStyle w:val="FirstParagraph"/>
      </w:pPr>
      <w:r>
        <w:rPr>
          <w:b/>
          <w:bCs/>
        </w:rPr>
        <w:t xml:space="preserve">Native Multimodal Pre-training (NMP)</w:t>
      </w:r>
      <w:r>
        <w:t xml:space="preserve">: Unlike models that separately pre-train vision and language components, InternVL3 jointly trains both modalities from initialization. This creates tighter vision-language alignment but may reduce specialization on document tasks.</w:t>
      </w:r>
    </w:p>
    <w:p>
      <w:pPr>
        <w:pStyle w:val="BodyText"/>
      </w:pPr>
      <w:r>
        <w:rPr>
          <w:b/>
          <w:bCs/>
        </w:rPr>
        <w:t xml:space="preserve">Variable Visual Position Encoding (V2PE)</w:t>
      </w:r>
      <w:r>
        <w:t xml:space="preserve">: Uses fractional position increments (delta &lt; 1) for visual tokens, allowing the model to distinguish between adjacent image patches at sub-token granularity. Critical for understanding tabular layouts.</w:t>
      </w:r>
    </w:p>
    <w:p>
      <w:pPr>
        <w:pStyle w:val="BodyText"/>
      </w:pPr>
      <w:r>
        <w:rPr>
          <w:b/>
          <w:bCs/>
        </w:rPr>
        <w:t xml:space="preserve">Dynamic High-Resolution Processing</w:t>
      </w:r>
      <w:r>
        <w:t xml:space="preserve">: Automatically tiles large images into patches, processes each tile independently, and fuses results. Enables processing of high-resolution documents without resizing artifacts.</w:t>
      </w:r>
    </w:p>
    <w:bookmarkEnd w:id="16"/>
    <w:bookmarkStart w:id="17" w:name="memory-requirements-1"/>
    <w:p>
      <w:pPr>
        <w:pStyle w:val="Heading3"/>
      </w:pPr>
      <w:r>
        <w:t xml:space="preserve">Memory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INT8 (quantized)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INT4 (quantized)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GB</w:t>
            </w:r>
          </w:p>
        </w:tc>
      </w:tr>
    </w:tbl>
    <w:bookmarkEnd w:id="17"/>
    <w:bookmarkStart w:id="18" w:name="reference-1"/>
    <w:p>
      <w:pPr>
        <w:pStyle w:val="Heading3"/>
      </w:pPr>
      <w:r>
        <w:t xml:space="preserve">Reference</w:t>
      </w:r>
    </w:p>
    <w:p>
      <w:pPr>
        <w:pStyle w:val="FirstParagraph"/>
      </w:pPr>
      <w:r>
        <w:t xml:space="preserve">Chen, Z., et al. (2024).</w:t>
      </w:r>
      <w:r>
        <w:t xml:space="preserve"> </w:t>
      </w:r>
      <w:r>
        <w:rPr>
          <w:i/>
          <w:iCs/>
        </w:rPr>
        <w:t xml:space="preserve">InternVL: Scaling up Vision Foundation Models and Aligning for Generic Visual-Linguistic Tasks</w:t>
      </w:r>
      <w:r>
        <w:t xml:space="preserve">. CVPR 2024. https://arxiv.org/abs/2312.14238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b.3-internvl3.5-8b"/>
    <w:p>
      <w:pPr>
        <w:pStyle w:val="Heading2"/>
      </w:pPr>
      <w:r>
        <w:t xml:space="preserve">B.3 InternVL3.5-8B</w:t>
      </w:r>
    </w:p>
    <w:bookmarkStart w:id="20" w:name="architecture-2"/>
    <w:p>
      <w:pPr>
        <w:pStyle w:val="Heading3"/>
      </w:pPr>
      <w:r>
        <w:t xml:space="preserve">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billion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Vision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InternViT-6B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InternLM2.5-7B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Vision-Language 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MLP Projector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Dynamic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4K pixels (via tiling)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Image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12-40 (configurable)</w:t>
            </w:r>
          </w:p>
        </w:tc>
      </w:tr>
    </w:tbl>
    <w:bookmarkEnd w:id="20"/>
    <w:bookmarkStart w:id="21" w:name="X25da47400b15c9dee547ce6aeb0b7847f130e9f"/>
    <w:p>
      <w:pPr>
        <w:pStyle w:val="Heading3"/>
      </w:pPr>
      <w:r>
        <w:t xml:space="preserve">Key Architectural Improvements over InternVL3</w:t>
      </w:r>
    </w:p>
    <w:p>
      <w:pPr>
        <w:pStyle w:val="FirstParagraph"/>
      </w:pPr>
      <w:r>
        <w:rPr>
          <w:b/>
          <w:bCs/>
        </w:rPr>
        <w:t xml:space="preserve">Cascade Reinforcement Learning (Cascade RL)</w:t>
      </w:r>
      <w:r>
        <w:t xml:space="preserve">: A two-stage training process that dramatically improves output consistency: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Stage 1 - Offline RL (MPO)</w:t>
      </w:r>
      <w:r>
        <w:t xml:space="preserve">: Mixed Preference Optimization using pre-collected preference data. Provides stable convergence without the instability of online sampling.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Stage 2 - Online RL (GSPO)</w:t>
      </w:r>
      <w:r>
        <w:t xml:space="preserve">: Group-wise Scaled Preference Optimization with live rollouts. Fine-tunes alignment using model-generated responses, improving edge-case handling.</w:t>
      </w:r>
    </w:p>
    <w:p>
      <w:pPr>
        <w:pStyle w:val="FirstParagraph"/>
      </w:pPr>
      <w:r>
        <w:t xml:space="preserve">This two-stage approach yields +16% improvement on reasoning benchmarks (MMMU, MathVista) and significantly reduces output variance—critical for structured document extraction where consistency matters as much as accuracy.</w:t>
      </w:r>
    </w:p>
    <w:p>
      <w:pPr>
        <w:pStyle w:val="BodyText"/>
      </w:pPr>
      <w:r>
        <w:rPr>
          <w:b/>
          <w:bCs/>
        </w:rPr>
        <w:t xml:space="preserve">Visual Resolution Router (ViR)</w:t>
      </w:r>
      <w:r>
        <w:t xml:space="preserve">: Dynamically allocates visual token budget based on patch information density:</w:t>
      </w:r>
    </w:p>
    <w:p>
      <w:pPr>
        <w:pStyle w:val="Compact"/>
        <w:numPr>
          <w:ilvl w:val="0"/>
          <w:numId w:val="1002"/>
        </w:numPr>
      </w:pPr>
      <w:r>
        <w:t xml:space="preserve">Dense regions (text, tables): Higher token allocation</w:t>
      </w:r>
    </w:p>
    <w:p>
      <w:pPr>
        <w:pStyle w:val="Compact"/>
        <w:numPr>
          <w:ilvl w:val="0"/>
          <w:numId w:val="1002"/>
        </w:numPr>
      </w:pPr>
      <w:r>
        <w:t xml:space="preserve">Sparse regions (margins, whitespace): Lower token allocation</w:t>
      </w:r>
    </w:p>
    <w:p>
      <w:pPr>
        <w:pStyle w:val="Compact"/>
        <w:numPr>
          <w:ilvl w:val="0"/>
          <w:numId w:val="1002"/>
        </w:numPr>
      </w:pPr>
      <w:r>
        <w:t xml:space="preserve">Result: Up to 50% token reduction with &lt;1% performance loss</w:t>
      </w:r>
    </w:p>
    <w:p>
      <w:pPr>
        <w:pStyle w:val="FirstParagraph"/>
      </w:pPr>
      <w:r>
        <w:rPr>
          <w:b/>
          <w:bCs/>
        </w:rPr>
        <w:t xml:space="preserve">Decoupled Vision-Language Deployment (DvD)</w:t>
      </w:r>
      <w:r>
        <w:t xml:space="preserve">: Enables running the vision encoder and language model on separate GPUs, improving resource utilization for production deployments.</w:t>
      </w:r>
    </w:p>
    <w:bookmarkEnd w:id="21"/>
    <w:bookmarkStart w:id="22" w:name="memory-requirements-2"/>
    <w:p>
      <w:pPr>
        <w:pStyle w:val="Heading3"/>
      </w:pPr>
      <w:r>
        <w:t xml:space="preserve">Memory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INT8 (quantized)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INT4 (quantized)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GB</w:t>
            </w:r>
          </w:p>
        </w:tc>
      </w:tr>
    </w:tbl>
    <w:bookmarkEnd w:id="22"/>
    <w:bookmarkStart w:id="23" w:name="reference-2"/>
    <w:p>
      <w:pPr>
        <w:pStyle w:val="Heading3"/>
      </w:pPr>
      <w:r>
        <w:t xml:space="preserve">Reference</w:t>
      </w:r>
    </w:p>
    <w:p>
      <w:pPr>
        <w:pStyle w:val="FirstParagraph"/>
      </w:pPr>
      <w:r>
        <w:t xml:space="preserve">Chen, Z., et al. (2025).</w:t>
      </w:r>
      <w:r>
        <w:t xml:space="preserve"> </w:t>
      </w:r>
      <w:r>
        <w:rPr>
          <w:i/>
          <w:iCs/>
        </w:rPr>
        <w:t xml:space="preserve">InternVL3: Exploring the Upper Bound of Multimodal Large Language Models</w:t>
      </w:r>
      <w:r>
        <w:t xml:space="preserve">. Technical Report. https://internvl.github.io/blog/2025-01-25-InternVL3/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b.4-architecture-comparison"/>
    <w:p>
      <w:pPr>
        <w:pStyle w:val="Heading2"/>
      </w:pPr>
      <w:r>
        <w:t xml:space="preserve">B.4 Architecture Comparison</w:t>
      </w:r>
    </w:p>
    <w:bookmarkStart w:id="25" w:name="component-comparison"/>
    <w:p>
      <w:pPr>
        <w:pStyle w:val="Heading3"/>
      </w:pPr>
      <w:r>
        <w:t xml:space="preserve">Component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Llama-3.2-Vision-11B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InternVL3-2B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InternVL3.5-8B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Encoder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ViT-H/14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InternViT-300M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InternViT-6B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Params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Llama-3.2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InternLM2-1.8B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InternLM2.5-7B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Params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10.6B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Connector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Cross-Attention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MLP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Resolution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Reinforcement Learning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RLHF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Cascade RL</w:t>
            </w:r>
          </w:p>
        </w:tc>
      </w:tr>
    </w:tbl>
    <w:bookmarkEnd w:id="25"/>
    <w:bookmarkStart w:id="26" w:name="benchmark-performance"/>
    <w:p>
      <w:pPr>
        <w:pStyle w:val="Heading3"/>
      </w:pPr>
      <w:r>
        <w:t xml:space="preserve">Benchmark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Llama-3.2-11B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InternVL3-2B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InternVL3.5-8B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DocVQA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OCRBench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TextVQA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MMMU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56.0</w:t>
            </w:r>
          </w:p>
        </w:tc>
      </w:tr>
    </w:tbl>
    <w:p>
      <w:pPr>
        <w:pStyle w:val="BodyText"/>
      </w:pPr>
      <w:r>
        <w:rPr>
          <w:i/>
          <w:iCs/>
        </w:rPr>
        <w:t xml:space="preserve">Scores from official model documentation and published benchmarks.</w:t>
      </w:r>
    </w:p>
    <w:bookmarkEnd w:id="26"/>
    <w:bookmarkStart w:id="27" w:name="practical-trade-offs"/>
    <w:p>
      <w:pPr>
        <w:pStyle w:val="Heading3"/>
      </w:pPr>
      <w:r>
        <w:t xml:space="preserve">Practical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941"/>
        <w:gridCol w:w="24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Highest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F1 on document extraction (73.7%)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Lowest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InternVL3-2B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4GB VRAM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InternVL3-2B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model, fastest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InternVL3.5-8B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RL reduces output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Multi-Turn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Llama-3.2-Vision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conversation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b.5-model-selection-guidance"/>
    <w:p>
      <w:pPr>
        <w:pStyle w:val="Heading2"/>
      </w:pPr>
      <w:r>
        <w:t xml:space="preserve">B.5 Model Selection Guidance</w:t>
      </w:r>
    </w:p>
    <w:bookmarkStart w:id="29" w:name="recommended-internvl3.5-8b"/>
    <w:p>
      <w:pPr>
        <w:pStyle w:val="Heading3"/>
      </w:pPr>
      <w:r>
        <w:t xml:space="preserve">Recommended: InternVL3.5-8B</w:t>
      </w:r>
    </w:p>
    <w:p>
      <w:pPr>
        <w:pStyle w:val="FirstParagraph"/>
      </w:pPr>
      <w:r>
        <w:t xml:space="preserve">For production business document extraction,</w:t>
      </w:r>
      <w:r>
        <w:t xml:space="preserve"> </w:t>
      </w:r>
      <w:r>
        <w:rPr>
          <w:b/>
          <w:bCs/>
        </w:rPr>
        <w:t xml:space="preserve">InternVL3.5-8B</w:t>
      </w:r>
      <w:r>
        <w:t xml:space="preserve"> </w:t>
      </w:r>
      <w:r>
        <w:t xml:space="preserve">offers the best balance:</w:t>
      </w:r>
    </w:p>
    <w:p>
      <w:pPr>
        <w:pStyle w:val="Compact"/>
        <w:numPr>
          <w:ilvl w:val="0"/>
          <w:numId w:val="1003"/>
        </w:numPr>
      </w:pPr>
      <w:r>
        <w:t xml:space="preserve">Highest Mean F1 (73.7%) across all document types</w:t>
      </w:r>
    </w:p>
    <w:p>
      <w:pPr>
        <w:pStyle w:val="Compact"/>
        <w:numPr>
          <w:ilvl w:val="0"/>
          <w:numId w:val="1003"/>
        </w:numPr>
      </w:pPr>
      <w:r>
        <w:t xml:space="preserve">Lowest standard deviation (16.0%) indicating consistent performance</w:t>
      </w:r>
    </w:p>
    <w:p>
      <w:pPr>
        <w:pStyle w:val="Compact"/>
        <w:numPr>
          <w:ilvl w:val="0"/>
          <w:numId w:val="1003"/>
        </w:numPr>
      </w:pPr>
      <w:r>
        <w:t xml:space="preserve">Competitive processing speed (37s/doc, 1.6 docs/min)</w:t>
      </w:r>
    </w:p>
    <w:p>
      <w:pPr>
        <w:pStyle w:val="Compact"/>
        <w:numPr>
          <w:ilvl w:val="0"/>
          <w:numId w:val="1003"/>
        </w:numPr>
      </w:pPr>
      <w:r>
        <w:t xml:space="preserve">Cascade RL training produces reliable, structured outputs</w:t>
      </w:r>
    </w:p>
    <w:bookmarkEnd w:id="29"/>
    <w:bookmarkStart w:id="30" w:name="alternative-internvl3-2b"/>
    <w:p>
      <w:pPr>
        <w:pStyle w:val="Heading3"/>
      </w:pPr>
      <w:r>
        <w:t xml:space="preserve">Alternative: InternVL3-2B</w:t>
      </w:r>
    </w:p>
    <w:p>
      <w:pPr>
        <w:pStyle w:val="FirstParagraph"/>
      </w:pPr>
      <w:r>
        <w:t xml:space="preserve">For resource-constrained deployments:</w:t>
      </w:r>
    </w:p>
    <w:p>
      <w:pPr>
        <w:pStyle w:val="Compact"/>
        <w:numPr>
          <w:ilvl w:val="0"/>
          <w:numId w:val="1004"/>
        </w:numPr>
      </w:pPr>
      <w:r>
        <w:t xml:space="preserve">Runs on consumer GPUs (4GB VRAM)</w:t>
      </w:r>
    </w:p>
    <w:p>
      <w:pPr>
        <w:pStyle w:val="Compact"/>
        <w:numPr>
          <w:ilvl w:val="0"/>
          <w:numId w:val="1004"/>
        </w:numPr>
      </w:pPr>
      <w:r>
        <w:t xml:space="preserve">Acceptable accuracy (60.9% Mean F1)</w:t>
      </w:r>
    </w:p>
    <w:p>
      <w:pPr>
        <w:pStyle w:val="Compact"/>
        <w:numPr>
          <w:ilvl w:val="0"/>
          <w:numId w:val="1004"/>
        </w:numPr>
      </w:pPr>
      <w:r>
        <w:t xml:space="preserve">Fastest throughput (1.7 docs/min)</w:t>
      </w:r>
    </w:p>
    <w:bookmarkEnd w:id="30"/>
    <w:bookmarkStart w:id="31" w:name="when-to-consider-llama-3.2-vision-11b"/>
    <w:p>
      <w:pPr>
        <w:pStyle w:val="Heading3"/>
      </w:pPr>
      <w:r>
        <w:t xml:space="preserve">When to Consider Llama-3.2-Vision-11B</w:t>
      </w:r>
    </w:p>
    <w:p>
      <w:pPr>
        <w:pStyle w:val="Compact"/>
        <w:numPr>
          <w:ilvl w:val="0"/>
          <w:numId w:val="1005"/>
        </w:numPr>
      </w:pPr>
      <w:r>
        <w:t xml:space="preserve">Multi-turn document analysis workflows</w:t>
      </w:r>
    </w:p>
    <w:p>
      <w:pPr>
        <w:pStyle w:val="Compact"/>
        <w:numPr>
          <w:ilvl w:val="0"/>
          <w:numId w:val="1005"/>
        </w:numPr>
      </w:pPr>
      <w:r>
        <w:t xml:space="preserve">When cross-attention visual grounding is important</w:t>
      </w:r>
    </w:p>
    <w:p>
      <w:pPr>
        <w:pStyle w:val="Compact"/>
        <w:numPr>
          <w:ilvl w:val="0"/>
          <w:numId w:val="1005"/>
        </w:numPr>
      </w:pPr>
      <w:r>
        <w:t xml:space="preserve">Integration with existing Llama ecosystem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6"/>
        </w:numPr>
      </w:pPr>
      <w:r>
        <w:t xml:space="preserve">Meta AI. (2024).</w:t>
      </w:r>
      <w:r>
        <w:t xml:space="preserve"> </w:t>
      </w:r>
      <w:r>
        <w:rPr>
          <w:i/>
          <w:iCs/>
        </w:rPr>
        <w:t xml:space="preserve">Llama 3.2: Revolutionizing edge AI and vision with open, customizable models</w:t>
      </w:r>
      <w:r>
        <w:t xml:space="preserve">. Meta AI Blog.</w:t>
      </w:r>
    </w:p>
    <w:p>
      <w:pPr>
        <w:numPr>
          <w:ilvl w:val="0"/>
          <w:numId w:val="1006"/>
        </w:numPr>
      </w:pPr>
      <w:r>
        <w:t xml:space="preserve">Chen, Z., Wu, J., Wang, W., et al. (2024).</w:t>
      </w:r>
      <w:r>
        <w:t xml:space="preserve"> </w:t>
      </w:r>
      <w:r>
        <w:rPr>
          <w:i/>
          <w:iCs/>
        </w:rPr>
        <w:t xml:space="preserve">InternVL: Scaling up Vision Foundation Models and Aligning for Generic Visual-Linguistic Tasks</w:t>
      </w:r>
      <w:r>
        <w:t xml:space="preserve">. Proceedings of the IEEE/CVF Conference on Computer Vision and Pattern Recognition (CVPR), 2024.</w:t>
      </w:r>
    </w:p>
    <w:p>
      <w:pPr>
        <w:numPr>
          <w:ilvl w:val="0"/>
          <w:numId w:val="1006"/>
        </w:numPr>
      </w:pPr>
      <w:r>
        <w:t xml:space="preserve">Chen, Z., et al. (2025).</w:t>
      </w:r>
      <w:r>
        <w:t xml:space="preserve"> </w:t>
      </w:r>
      <w:r>
        <w:rPr>
          <w:i/>
          <w:iCs/>
        </w:rPr>
        <w:t xml:space="preserve">InternVL3: Exploring the Upper Bound of Multimodal Large Language Models</w:t>
      </w:r>
      <w:r>
        <w:t xml:space="preserve">. Technical Report, OpenGVLab.</w:t>
      </w:r>
    </w:p>
    <w:p>
      <w:pPr>
        <w:numPr>
          <w:ilvl w:val="0"/>
          <w:numId w:val="1006"/>
        </w:numPr>
      </w:pPr>
      <w:r>
        <w:t xml:space="preserve">Zhu, D., Chen, J., Shen, X., et al. (2024).</w:t>
      </w:r>
      <w:r>
        <w:t xml:space="preserve"> </w:t>
      </w:r>
      <w:r>
        <w:rPr>
          <w:i/>
          <w:iCs/>
        </w:rPr>
        <w:t xml:space="preserve">MiniGPT-4: Enhancing Vision-Language Understanding with Advanced Large Language Models</w:t>
      </w:r>
      <w:r>
        <w:t xml:space="preserve">. ICLR 2024.</w:t>
      </w:r>
    </w:p>
    <w:p>
      <w:pPr>
        <w:numPr>
          <w:ilvl w:val="0"/>
          <w:numId w:val="1006"/>
        </w:numPr>
      </w:pPr>
      <w:r>
        <w:t xml:space="preserve">Liu, H., Li, C., Wu, Q., &amp; Lee, Y. J. (2024).</w:t>
      </w:r>
      <w:r>
        <w:t xml:space="preserve"> </w:t>
      </w:r>
      <w:r>
        <w:rPr>
          <w:i/>
          <w:iCs/>
        </w:rPr>
        <w:t xml:space="preserve">Visual Instruction Tuning</w:t>
      </w:r>
      <w:r>
        <w:t xml:space="preserve">. NeurIPS 2023.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2025-12-21T22:24:44Z</dcterms:created>
  <dcterms:modified xsi:type="dcterms:W3CDTF">2025-12-21T22:24:44Z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