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X41705b2b0e0c493bdff3ebac3d2c56e96cb0536"/>
    <w:p>
      <w:pPr>
        <w:pStyle w:val="Heading1"/>
      </w:pPr>
      <w:r>
        <w:t xml:space="preserve">Synthetic Document Generation: Methods &amp; Packages Reference</w:t>
      </w:r>
    </w:p>
    <w:p>
      <w:pPr>
        <w:pStyle w:val="FirstParagraph"/>
      </w:pPr>
      <w:r>
        <w:rPr>
          <w:b/>
          <w:bCs/>
        </w:rPr>
        <w:t xml:space="preserve">Work item:</w:t>
      </w:r>
      <w:r>
        <w:t xml:space="preserve"> </w:t>
      </w:r>
      <w:r>
        <w:t xml:space="preserve">#5147049 —</w:t>
      </w:r>
      <w:r>
        <w:t xml:space="preserve"> </w:t>
      </w:r>
      <w:r>
        <w:rPr>
          <w:i/>
          <w:iCs/>
        </w:rPr>
        <w:t xml:space="preserve">Synthetic document image dataset: Research Gen AI / non Gen AI methods for generating synthetic documents</w:t>
      </w:r>
      <w:r>
        <w:t xml:space="preserve"> </w:t>
      </w:r>
      <w:r>
        <w:t xml:space="preserve">(Area</w:t>
      </w:r>
      <w:r>
        <w:t xml:space="preserve"> </w:t>
      </w:r>
      <w:r>
        <w:rPr>
          <w:rStyle w:val="VerbatimChar"/>
        </w:rPr>
        <w:t xml:space="preserve">EST\SDP\MDT\GEN AI</w:t>
      </w:r>
      <w:r>
        <w:t xml:space="preserve">,</w:t>
      </w:r>
      <w:r>
        <w:t xml:space="preserve"> </w:t>
      </w:r>
      <w:r>
        <w:rPr>
          <w:rStyle w:val="VerbatimChar"/>
        </w:rPr>
        <w:t xml:space="preserve">PI49\Sprint 49.1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Acceptance criterion addressed:</w:t>
      </w:r>
      <w:r>
        <w:t xml:space="preserve"> </w:t>
      </w:r>
      <w:r>
        <w:t xml:space="preserve">a reference of extant methods/packages for synthetic document generation, with an evaluation of their advantages and disadvantages, to inform feature decisions for the in-house</w:t>
      </w:r>
      <w:r>
        <w:t xml:space="preserve"> </w:t>
      </w:r>
      <w:r>
        <w:rPr>
          <w:rStyle w:val="VerbatimChar"/>
        </w:rPr>
        <w:t xml:space="preserve">Synthetic_Doc_Generation</w:t>
      </w:r>
      <w:r>
        <w:t xml:space="preserve"> </w:t>
      </w:r>
      <w:r>
        <w:t xml:space="preserve">pipeline.</w:t>
      </w:r>
    </w:p>
    <w:p>
      <w:pPr>
        <w:pStyle w:val="BodyText"/>
      </w:pPr>
      <w:r>
        <w:rPr>
          <w:b/>
          <w:bCs/>
        </w:rPr>
        <w:t xml:space="preserve">Purpose of the pipeline (for context):</w:t>
      </w:r>
      <w:r>
        <w:t xml:space="preserve"> </w:t>
      </w:r>
      <w:r>
        <w:t xml:space="preserve">a labelled Australian business-document benchmark used to measure the</w:t>
      </w:r>
      <w:r>
        <w:t xml:space="preserve"> </w:t>
      </w:r>
      <w:r>
        <w:rPr>
          <w:b/>
          <w:bCs/>
        </w:rPr>
        <w:t xml:space="preserve">information-extraction (IE) accuracy of competing Vision-Language Models</w:t>
      </w:r>
      <w:r>
        <w:t xml:space="preserve"> </w:t>
      </w:r>
      <w:r>
        <w:t xml:space="preserve">— i.e. the synthetic ground truth is the answer key, not model training data.</w:t>
      </w:r>
    </w:p>
    <w:p>
      <w:pPr>
        <w:pStyle w:val="BodyText"/>
      </w:pPr>
      <w:r>
        <w:rPr>
          <w:b/>
          <w:bCs/>
        </w:rPr>
        <w:t xml:space="preserve">Method:</w:t>
      </w:r>
      <w:r>
        <w:t xml:space="preserve"> </w:t>
      </w:r>
      <w:r>
        <w:t xml:space="preserve">multi-source web survey with adversarial claim verification (6 search angles, 17 primary sources fetched, 79 candidate claims, 25 verified by 3-vote panels; 24 confirmed, 1 refuted). Verification votes and confidence are recorded inline and in the appendix. Date: 2026-07-24.</w:t>
      </w:r>
    </w:p>
    <w:p>
      <w:r>
        <w:pict>
          <v:rect style="width:0;height:1.5pt" o:hralign="center" o:hrstd="t" o:hr="t"/>
        </w:pict>
      </w:r>
    </w:p>
    <w:bookmarkStart w:id="9" w:name="X2871f711550bc9baaa4c11bb72ee42ab708c97c"/>
    <w:p>
      <w:pPr>
        <w:pStyle w:val="Heading2"/>
      </w:pPr>
      <w:r>
        <w:t xml:space="preserve">1. Executive summary (bottom line up front)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External credibility for a synthetic IE benchmark comes from the evaluation standards and formats it stands on, not from the generator.</w:t>
      </w:r>
      <w:r>
        <w:t xml:space="preserve"> </w:t>
      </w:r>
      <w:r>
        <w:t xml:space="preserve">The pipeline already exports to</w:t>
      </w:r>
      <w:r>
        <w:t xml:space="preserve"> </w:t>
      </w:r>
      <w:r>
        <w:rPr>
          <w:b/>
          <w:bCs/>
        </w:rPr>
        <w:t xml:space="preserve">DocILE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CORD</w:t>
      </w:r>
      <w:r>
        <w:t xml:space="preserve"> </w:t>
      </w:r>
      <w:r>
        <w:t xml:space="preserve">and scores with their permissively-licensed reference scorers — this is the defensible core.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field's own flagship benchmark legitimises a bespoke generator.</w:t>
      </w:r>
      <w:r>
        <w:t xml:space="preserve"> </w:t>
      </w:r>
      <w:r>
        <w:t xml:space="preserve">DocILE — the most-cited business-document IE benchmark — was itself produced by a</w:t>
      </w:r>
      <w:r>
        <w:t xml:space="preserve"> </w:t>
      </w:r>
      <w:r>
        <w:rPr>
          <w:i/>
          <w:iCs/>
        </w:rPr>
        <w:t xml:space="preserve">bespoke, proprietary, rule-based HTML-to-PDF synthesiser</w:t>
      </w:r>
      <w:r>
        <w:t xml:space="preserve"> </w:t>
      </w:r>
      <w:r>
        <w:t xml:space="preserve">seeded by 100 real layouts and filled with a fake-data library, then validated empirically</w:t>
      </w:r>
      <w:r>
        <w:t xml:space="preserve"> </w:t>
      </w:r>
      <w:r>
        <w:rPr>
          <w:rStyle w:val="VerbatimChar"/>
        </w:rPr>
        <w:t xml:space="preserve">[arXiv:2302.05658]</w:t>
      </w:r>
      <w:r>
        <w:t xml:space="preserve">. The accepted, peer-reviewed construction is exactly "bespoke generator → recognised formats → recognised scorers". The field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expect adoption of a named OSS generator.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recognised OSS generator emits field-level KILE/LIR bounding boxes.</w:t>
      </w:r>
      <w:r>
        <w:t xml:space="preserve"> </w:t>
      </w:r>
      <w:r>
        <w:t xml:space="preserve">The capability the benchmark needs (render-time, per-field boxes) is genuinely bespoke-only today; every recognised OSS generator either targets a different task, is copyleft, or is an unreleased preprint.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permissive OSS worth adopting is narrow:</w:t>
      </w:r>
      <w:r>
        <w:t xml:space="preserve"> </w:t>
      </w:r>
      <w:r>
        <w:t xml:space="preserve">Augraphy (degradation), and optionally SynthDoG/SynthTIGER as recognised text-render components. These reduce bespoke surface without compromising the answer key.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synthetic-to-real gap is real and must be acknowledged</w:t>
      </w:r>
      <w:r>
        <w:t xml:space="preserve">, not assumed away — the ticket's premise that "Gen AI has advanced synthetic generation" holds for</w:t>
      </w:r>
      <w:r>
        <w:t xml:space="preserve"> </w:t>
      </w:r>
      <w:r>
        <w:rPr>
          <w:i/>
          <w:iCs/>
        </w:rPr>
        <w:t xml:space="preserve">training augmentation</w:t>
      </w:r>
      <w:r>
        <w:t xml:space="preserve"> </w:t>
      </w:r>
      <w:r>
        <w:t xml:space="preserve">but not for</w:t>
      </w:r>
      <w:r>
        <w:t xml:space="preserve"> </w:t>
      </w:r>
      <w:r>
        <w:rPr>
          <w:i/>
          <w:iCs/>
        </w:rPr>
        <w:t xml:space="preserve">answer-key fidelity</w:t>
      </w:r>
      <w:r>
        <w:t xml:space="preserve">. Triangulate against a small real/held-out set.</w:t>
      </w:r>
    </w:p>
    <w:p>
      <w:r>
        <w:pict>
          <v:rect style="width:0;height:1.5pt" o:hralign="center" o:hrstd="t" o:hr="t"/>
        </w:pict>
      </w:r>
    </w:p>
    <w:bookmarkEnd w:id="9"/>
    <w:bookmarkStart w:id="10" w:name="X8b9a64c80ae34203e3869c555a17e071cafefc4"/>
    <w:p>
      <w:pPr>
        <w:pStyle w:val="Heading2"/>
      </w:pPr>
      <w:r>
        <w:t xml:space="preserve">2. The credibility question, answered directly</w:t>
      </w:r>
    </w:p>
    <w:p>
      <w:pPr>
        <w:pStyle w:val="BlockText"/>
      </w:pPr>
      <w:r>
        <w:rPr>
          <w:i/>
          <w:iCs/>
        </w:rPr>
        <w:t xml:space="preserve">Is a bespoke generator defensible when it exports to recognised formats and is scored with recognised scorers, or does the field expect a named OSS generator?</w:t>
      </w:r>
    </w:p>
    <w:p>
      <w:pPr>
        <w:pStyle w:val="FirstParagraph"/>
      </w:pPr>
      <w:r>
        <w:rPr>
          <w:b/>
          <w:bCs/>
        </w:rPr>
        <w:t xml:space="preserve">A bespoke generator is defensible — with direct peer-reviewed precedent.</w:t>
      </w:r>
      <w:r>
        <w:t xml:space="preserve"> </w:t>
      </w:r>
      <w:r>
        <w:t xml:space="preserve">DocILE's 100,000-document synthetic subset (the first large synthetic dataset carrying KILE+LIR labels) was generated by a proprietary rule-based synthesiser that fills annotated fields via content generators (some using the</w:t>
      </w:r>
      <w:r>
        <w:t xml:space="preserve"> </w:t>
      </w:r>
      <w:r>
        <w:rPr>
          <w:b/>
          <w:bCs/>
        </w:rPr>
        <w:t xml:space="preserve">Mimesis</w:t>
      </w:r>
      <w:r>
        <w:t xml:space="preserve"> </w:t>
      </w:r>
      <w:r>
        <w:t xml:space="preserve">fake-data library — the same</w:t>
      </w:r>
      <w:r>
        <w:t xml:space="preserve"> </w:t>
      </w:r>
      <w:r>
        <w:rPr>
          <w:i/>
          <w:iCs/>
        </w:rPr>
        <w:t xml:space="preserve">class</w:t>
      </w:r>
      <w:r>
        <w:t xml:space="preserve"> </w:t>
      </w:r>
      <w:r>
        <w:t xml:space="preserve">of tool as this pipeline's incumbent Faker), renders HTML to PDF, and uses layouts inspired by 100 fully-annotated real documents (one per layout cluster). Synthetic pre-training then improved KILE and LIR in all cases but one, and the best benchmark-permitted result used the synthetic data</w:t>
      </w:r>
      <w:r>
        <w:t xml:space="preserve"> </w:t>
      </w:r>
      <w:r>
        <w:rPr>
          <w:rStyle w:val="VerbatimChar"/>
        </w:rPr>
        <w:t xml:space="preserve">[arXiv:2302.05658]</w:t>
      </w:r>
      <w:r>
        <w:t xml:space="preserve"> </w:t>
      </w:r>
      <w:r>
        <w:rPr>
          <w:i/>
          <w:iCs/>
        </w:rPr>
        <w:t xml:space="preserve">(construction facts verified 3-0; empirical-validation claim verified 2-1 — see appendix)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Implication for the credibility narrative:</w:t>
      </w:r>
      <w:r>
        <w:t xml:space="preserve"> </w:t>
      </w:r>
      <w:r>
        <w:t xml:space="preserve">the pipeline should be positioned as</w:t>
      </w:r>
      <w:r>
        <w:t xml:space="preserve"> </w:t>
      </w:r>
      <w:r>
        <w:rPr>
          <w:i/>
          <w:iCs/>
        </w:rPr>
        <w:t xml:space="preserve">"a bespoke domain generator that exports to the recognised DocILE (KILE/LIR) and CORD formats and is scored with their published MIT reference scorers"</w:t>
      </w:r>
      <w:r>
        <w:t xml:space="preserve"> </w:t>
      </w:r>
      <w:r>
        <w:t xml:space="preserve">— the identical pattern the field's flagship benchmark used. This is a stronger defence than adopting an OSS generator would have been, because the OSS generators do not produce the required labels (§3).</w:t>
      </w:r>
    </w:p>
    <w:p>
      <w:r>
        <w:pict>
          <v:rect style="width:0;height:1.5pt" o:hralign="center" o:hrstd="t" o:hr="t"/>
        </w:pict>
      </w:r>
    </w:p>
    <w:bookmarkEnd w:id="10"/>
    <w:bookmarkStart w:id="13" w:name="X0d8f272d81fa32f531b039c4713b92206a1e6f6"/>
    <w:p>
      <w:pPr>
        <w:pStyle w:val="Heading2"/>
      </w:pPr>
      <w:r>
        <w:t xml:space="preserve">3. Generation methods &amp; packages — advantages / disadvantages</w:t>
      </w:r>
    </w:p>
    <w:p>
      <w:pPr>
        <w:pStyle w:val="FirstParagraph"/>
      </w:pPr>
      <w:r>
        <w:rPr>
          <w:b/>
          <w:bCs/>
        </w:rPr>
        <w:t xml:space="preserve">Legend:</w:t>
      </w:r>
      <w:r>
        <w:t xml:space="preserve"> </w:t>
      </w:r>
      <w:r>
        <w:rPr>
          <w:i/>
          <w:iCs/>
        </w:rPr>
        <w:t xml:space="preserve">Field-level bbox GT</w:t>
      </w:r>
      <w:r>
        <w:t xml:space="preserve"> </w:t>
      </w:r>
      <w:r>
        <w:t xml:space="preserve">= does the tool emit per-field (KILE/LIR-style) bounding-box ground truth out of the box? This is the benchmark's hard requirement.</w:t>
      </w:r>
    </w:p>
    <w:bookmarkStart w:id="11" w:name="Xc70ebe360599b2ed75746229037304c2224f74f"/>
    <w:p>
      <w:pPr>
        <w:pStyle w:val="Heading3"/>
      </w:pPr>
      <w:r>
        <w:t xml:space="preserve">3.1 Comparison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 / package</w:t>
            </w:r>
          </w:p>
        </w:tc>
        <w:tc>
          <w:tcPr/>
          <w:p>
            <w:pPr>
              <w:pStyle w:val="Compact"/>
            </w:pPr>
            <w:r>
              <w:t xml:space="preserve">Licence</w:t>
            </w:r>
          </w:p>
        </w:tc>
        <w:tc>
          <w:tcPr/>
          <w:p>
            <w:pPr>
              <w:pStyle w:val="Compact"/>
            </w:pPr>
            <w:r>
              <w:t xml:space="preserve">Field-level bbox GT</w:t>
            </w:r>
          </w:p>
        </w:tc>
        <w:tc>
          <w:tcPr/>
          <w:p>
            <w:pPr>
              <w:pStyle w:val="Compact"/>
            </w:pPr>
            <w:r>
              <w:t xml:space="preserve">Air-gap (pure pip/conda)</w:t>
            </w:r>
          </w:p>
        </w:tc>
        <w:tc>
          <w:tcPr/>
          <w:p>
            <w:pPr>
              <w:pStyle w:val="Compact"/>
            </w:pPr>
            <w:r>
              <w:t xml:space="preserve">Advantages</w:t>
            </w:r>
          </w:p>
        </w:tc>
        <w:tc>
          <w:tcPr/>
          <w:p>
            <w:pPr>
              <w:pStyle w:val="Compact"/>
            </w:pPr>
            <w:r>
              <w:t xml:space="preserve">Disadvantages</w:t>
            </w:r>
          </w:p>
        </w:tc>
        <w:tc>
          <w:tcPr/>
          <w:p>
            <w:pPr>
              <w:pStyle w:val="Compact"/>
            </w:pPr>
            <w:r>
              <w:t xml:space="preserve">Fit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SynthDoG</w:t>
            </w:r>
            <w:r>
              <w:t xml:space="preserve"> </w:t>
            </w:r>
            <w:r>
              <w:t xml:space="preserve">(NAVER, in Donut)</w:t>
            </w:r>
            <w:r>
              <w:t xml:space="preserve"> </w:t>
            </w:r>
            <w:r>
              <w:rPr>
                <w:rStyle w:val="VerbatimChar"/>
              </w:rPr>
              <w:t xml:space="preserve">[clovaai/donut]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 text-sequence only (</w:t>
            </w:r>
            <w:r>
              <w:rPr>
                <w:rStyle w:val="VerbatimChar"/>
              </w:rPr>
              <w:t xml:space="preserve">{"text_sequence": "…"}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Recognised, widely-cited; cheap multilingual text rendering</w:t>
            </w:r>
          </w:p>
        </w:tc>
        <w:tc>
          <w:tcPr/>
          <w:p>
            <w:pPr>
              <w:pStyle w:val="Compact"/>
            </w:pPr>
            <w:r>
              <w:t xml:space="preserve">No field boxes; content is not schema-structured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 as text-render component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SynthTIGER</w:t>
            </w:r>
            <w:r>
              <w:t xml:space="preserve"> </w:t>
            </w:r>
            <w:r>
              <w:t xml:space="preserve">(NAVER)</w:t>
            </w:r>
            <w:r>
              <w:t xml:space="preserve"> </w:t>
            </w:r>
            <w:r>
              <w:rPr>
                <w:rStyle w:val="VerbatimChar"/>
              </w:rPr>
              <w:t xml:space="preserve">[arXiv:2107.09313; clovaai/synthtiger]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 glyph/word-crop boxes (in</w:t>
            </w:r>
            <w:r>
              <w:t xml:space="preserve"> </w:t>
            </w:r>
            <w:r>
              <w:rPr>
                <w:rStyle w:val="VerbatimChar"/>
              </w:rPr>
              <w:t xml:space="preserve">coords.txt</w:t>
            </w:r>
            <w:r>
              <w:t xml:space="preserve">), not document fields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Recognised scene-text-recognition generator; reproducible</w:t>
            </w:r>
          </w:p>
        </w:tc>
        <w:tc>
          <w:tcPr/>
          <w:p>
            <w:pPr>
              <w:pStyle w:val="Compact"/>
            </w:pPr>
            <w:r>
              <w:t xml:space="preserve">Produces single-word/line crops, not document layouts</w:t>
            </w:r>
          </w:p>
        </w:tc>
        <w:tc>
          <w:tcPr/>
          <w:p>
            <w:pPr>
              <w:pStyle w:val="Compact"/>
            </w:pPr>
            <w:r>
              <w:t xml:space="preserve">Niche; not a document GT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Augraphy</w:t>
            </w:r>
            <w:r>
              <w:t xml:space="preserve"> </w:t>
            </w:r>
            <w:r>
              <w:rPr>
                <w:rStyle w:val="VerbatimChar"/>
              </w:rPr>
              <w:t xml:space="preserve">[arXiv:2208.14558]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 — but</w:t>
            </w:r>
            <w:r>
              <w:t xml:space="preserve"> </w:t>
            </w:r>
            <w:r>
              <w:rPr>
                <w:b/>
                <w:bCs/>
              </w:rPr>
              <w:t xml:space="preserve">transforms user-supplied boxes</w:t>
            </w:r>
            <w:r>
              <w:t xml:space="preserve"> </w:t>
            </w:r>
            <w:r>
              <w:t xml:space="preserve">to stay aligned with degraded output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Realistic print/scan/fax/ink degradation; recognised; box-preserving</w:t>
            </w:r>
          </w:p>
        </w:tc>
        <w:tc>
          <w:tcPr/>
          <w:p>
            <w:pPr>
              <w:pStyle w:val="Compact"/>
            </w:pPr>
            <w:r>
              <w:t xml:space="preserve">Does not generate content or boxes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 as post-hoc degradation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DocSynth</w:t>
            </w:r>
            <w:r>
              <w:t xml:space="preserve"> </w:t>
            </w:r>
            <w:r>
              <w:t xml:space="preserve">(ICDAR'21)</w:t>
            </w:r>
            <w:r>
              <w:t xml:space="preserve"> </w:t>
            </w:r>
            <w:r>
              <w:rPr>
                <w:rStyle w:val="VerbatimChar"/>
              </w:rPr>
              <w:t xml:space="preserve">[arXiv:2107.02638]</w:t>
            </w:r>
          </w:p>
        </w:tc>
        <w:tc>
          <w:tcPr/>
          <w:p>
            <w:pPr>
              <w:pStyle w:val="Compact"/>
            </w:pPr>
            <w:r>
              <w:t xml:space="preserve">research code</w:t>
            </w:r>
          </w:p>
        </w:tc>
        <w:tc>
          <w:tcPr/>
          <w:p>
            <w:pPr>
              <w:pStyle w:val="Compact"/>
            </w:pPr>
            <w:r>
              <w:t xml:space="preserve">❌ layout is an</w:t>
            </w:r>
            <w:r>
              <w:t xml:space="preserve"> </w:t>
            </w:r>
            <w:r>
              <w:rPr>
                <w:i/>
                <w:iCs/>
              </w:rPr>
              <w:t xml:space="preserve">input</w:t>
            </w:r>
            <w:r>
              <w:t xml:space="preserve">, images are the output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Realistic layout-conditioned image synthesis</w:t>
            </w:r>
          </w:p>
        </w:tc>
        <w:tc>
          <w:tcPr/>
          <w:p>
            <w:pPr>
              <w:pStyle w:val="Compact"/>
            </w:pPr>
            <w:r>
              <w:t xml:space="preserve">Targets layout-analysis augmentation, not key-value IE</w:t>
            </w:r>
          </w:p>
        </w:tc>
        <w:tc>
          <w:tcPr/>
          <w:p>
            <w:pPr>
              <w:pStyle w:val="Compact"/>
            </w:pPr>
            <w:r>
              <w:t xml:space="preserve">Wrong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LayoutDM</w:t>
            </w:r>
            <w:r>
              <w:t xml:space="preserve"> </w:t>
            </w:r>
            <w:r>
              <w:rPr>
                <w:rStyle w:val="VerbatimChar"/>
              </w:rPr>
              <w:t xml:space="preserve">[arXiv:2303.08137]</w:t>
            </w:r>
          </w:p>
        </w:tc>
        <w:tc>
          <w:tcPr/>
          <w:p>
            <w:pPr>
              <w:pStyle w:val="Compact"/>
            </w:pPr>
            <w:r>
              <w:t xml:space="preserve">research code</w:t>
            </w:r>
          </w:p>
        </w:tc>
        <w:tc>
          <w:tcPr/>
          <w:p>
            <w:pPr>
              <w:pStyle w:val="Compact"/>
            </w:pPr>
            <w:r>
              <w:t xml:space="preserve">❌ element-box geometry only; no rendered 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Strong controllable layout geometry</w:t>
            </w:r>
          </w:p>
        </w:tc>
        <w:tc>
          <w:tcPr/>
          <w:p>
            <w:pPr>
              <w:pStyle w:val="Compact"/>
            </w:pPr>
            <w:r>
              <w:t xml:space="preserve">No text, no extraction labels</w:t>
            </w:r>
          </w:p>
        </w:tc>
        <w:tc>
          <w:tcPr/>
          <w:p>
            <w:pPr>
              <w:pStyle w:val="Compact"/>
            </w:pPr>
            <w:r>
              <w:t xml:space="preserve">Wrong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SynthDoc</w:t>
            </w:r>
            <w:r>
              <w:t xml:space="preserve"> </w:t>
            </w:r>
            <w:r>
              <w:rPr>
                <w:rStyle w:val="VerbatimChar"/>
              </w:rPr>
              <w:t xml:space="preserve">[arXiv:2408.14764]</w:t>
            </w:r>
          </w:p>
        </w:tc>
        <w:tc>
          <w:tcPr/>
          <w:p>
            <w:pPr>
              <w:pStyle w:val="Compact"/>
            </w:pPr>
            <w:r>
              <w:t xml:space="preserve">research code</w:t>
            </w:r>
          </w:p>
        </w:tc>
        <w:tc>
          <w:tcPr/>
          <w:p>
            <w:pPr>
              <w:pStyle w:val="Compact"/>
            </w:pPr>
            <w:r>
              <w:t xml:space="preserve">❌ image-text pairs (Donut-style)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Handles text+tables+charts for VDU</w:t>
            </w:r>
          </w:p>
        </w:tc>
        <w:tc>
          <w:tcPr/>
          <w:p>
            <w:pPr>
              <w:pStyle w:val="Compact"/>
            </w:pPr>
            <w:r>
              <w:t xml:space="preserve">Reading-oriented, 5k-pair benchmark; no field boxes</w:t>
            </w:r>
          </w:p>
        </w:tc>
        <w:tc>
          <w:tcPr/>
          <w:p>
            <w:pPr>
              <w:pStyle w:val="Compact"/>
            </w:pPr>
            <w:r>
              <w:t xml:space="preserve">Wrong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DocSynth-300K</w:t>
            </w:r>
            <w:r>
              <w:t xml:space="preserve"> </w:t>
            </w:r>
            <w:r>
              <w:t xml:space="preserve">/ DocLayout-YOLO</w:t>
            </w:r>
            <w:r>
              <w:t xml:space="preserve"> </w:t>
            </w:r>
            <w:r>
              <w:rPr>
                <w:rStyle w:val="VerbatimChar"/>
              </w:rPr>
              <w:t xml:space="preserve">[arXiv:2410.12628]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AGPL-3.0</w:t>
            </w:r>
            <w:r>
              <w:t xml:space="preserve"> </w:t>
            </w:r>
            <w:r>
              <w:t xml:space="preserve">(verified in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❌ region-category labels (YOLO), not key-value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Large-scale layout data via Mesh-candidate BestFit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 copyleft — fails the permissive-licence constraint</w:t>
            </w:r>
            <w:r>
              <w:t xml:space="preserve">; wrong task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Excluded on licence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SAYRE</w:t>
            </w:r>
            <w:r>
              <w:t xml:space="preserve"> </w:t>
            </w:r>
            <w:r>
              <w:t xml:space="preserve">(Alibaba/Qwen, Jul 2026)</w:t>
            </w:r>
            <w:r>
              <w:t xml:space="preserve"> </w:t>
            </w:r>
            <w:r>
              <w:rPr>
                <w:rStyle w:val="VerbatimChar"/>
              </w:rPr>
              <w:t xml:space="preserve">[arXiv:2607.04636]</w:t>
            </w:r>
          </w:p>
        </w:tc>
        <w:tc>
          <w:tcPr/>
          <w:p>
            <w:pPr>
              <w:pStyle w:val="Compact"/>
            </w:pPr>
            <w:r>
              <w:t xml:space="preserve">unreleased/unlicensed preprint</w:t>
            </w:r>
          </w:p>
        </w:tc>
        <w:tc>
          <w:tcPr/>
          <w:p>
            <w:pPr>
              <w:pStyle w:val="Compact"/>
            </w:pPr>
            <w:r>
              <w:t xml:space="preserve">✅ produces document-schema-annotation triples</w:t>
            </w:r>
          </w:p>
        </w:tc>
        <w:tc>
          <w:tcPr/>
          <w:p>
            <w:pPr>
              <w:pStyle w:val="Compact"/>
            </w:pPr>
            <w:r>
              <w:t xml:space="preserve">❌ not confirmed</w:t>
            </w:r>
          </w:p>
        </w:tc>
        <w:tc>
          <w:tcPr/>
          <w:p>
            <w:pPr>
              <w:pStyle w:val="Compact"/>
            </w:pPr>
            <w:r>
              <w:t xml:space="preserve">Generates KIE data at scale from few exemplars, no templates</w:t>
            </w:r>
          </w:p>
        </w:tc>
        <w:tc>
          <w:tcPr/>
          <w:p>
            <w:pPr>
              <w:pStyle w:val="Compact"/>
            </w:pPr>
            <w:r>
              <w:t xml:space="preserve">Preprint; no confirmed released, permissive, air-gap build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Cite as SOTA precedent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DocDjinn</w:t>
            </w:r>
            <w:r>
              <w:t xml:space="preserve"> </w:t>
            </w:r>
            <w:r>
              <w:t xml:space="preserve">(Lamott et al., Feb 2026)</w:t>
            </w:r>
            <w:r>
              <w:t xml:space="preserve"> </w:t>
            </w:r>
            <w:r>
              <w:rPr>
                <w:rStyle w:val="VerbatimChar"/>
              </w:rPr>
              <w:t xml:space="preserve">[arXiv:2602.21824]</w:t>
            </w:r>
          </w:p>
        </w:tc>
        <w:tc>
          <w:tcPr/>
          <w:p>
            <w:pPr>
              <w:pStyle w:val="Compact"/>
            </w:pPr>
            <w:r>
              <w:t xml:space="preserve">unreleased/unlicensed preprint</w:t>
            </w:r>
          </w:p>
        </w:tc>
        <w:tc>
          <w:tcPr/>
          <w:p>
            <w:pPr>
              <w:pStyle w:val="Compact"/>
            </w:pPr>
            <w:r>
              <w:t xml:space="preserve">✅ annotated documents from unlabeled seeds</w:t>
            </w:r>
          </w:p>
        </w:tc>
        <w:tc>
          <w:tcPr/>
          <w:p>
            <w:pPr>
              <w:pStyle w:val="Compact"/>
            </w:pPr>
            <w:r>
              <w:t xml:space="preserve">❌ not confirmed</w:t>
            </w:r>
          </w:p>
        </w:tc>
        <w:tc>
          <w:tcPr/>
          <w:p>
            <w:pPr>
              <w:pStyle w:val="Compact"/>
            </w:pPr>
            <w:r>
              <w:t xml:space="preserve">VLM-based; clustering seed selection; parametrised sampling</w:t>
            </w:r>
          </w:p>
        </w:tc>
        <w:tc>
          <w:tcPr/>
          <w:p>
            <w:pPr>
              <w:pStyle w:val="Compact"/>
            </w:pPr>
            <w:r>
              <w:t xml:space="preserve">Single-team preprint; availability/licence unknown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Cite as SOTA precedent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Bespoke Pillow generator</w:t>
            </w:r>
            <w:r>
              <w:t xml:space="preserve"> </w:t>
            </w:r>
            <w:r>
              <w:t xml:space="preserve">(incumbent)</w:t>
            </w:r>
          </w:p>
        </w:tc>
        <w:tc>
          <w:tcPr/>
          <w:p>
            <w:pPr>
              <w:pStyle w:val="Compact"/>
            </w:pPr>
            <w:r>
              <w:t xml:space="preserve">in-house (permissive deps)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render-time, per-field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Exact AU + trust-distribution fidelity; byte-stable; DocILE/CORD export</w:t>
            </w:r>
          </w:p>
        </w:tc>
        <w:tc>
          <w:tcPr/>
          <w:p>
            <w:pPr>
              <w:pStyle w:val="Compact"/>
            </w:pPr>
            <w:r>
              <w:t xml:space="preserve">Maintenance burden; in-house provenance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Retain — nothing recognised replaces it</w:t>
            </w:r>
          </w:p>
        </w:tc>
      </w:tr>
    </w:tbl>
    <w:bookmarkEnd w:id="11"/>
    <w:bookmarkStart w:id="12" w:name="X87305aa668d4037501c6adbcaad126c5731b1b7"/>
    <w:p>
      <w:pPr>
        <w:pStyle w:val="Heading3"/>
      </w:pPr>
      <w:r>
        <w:t xml:space="preserve">3.2 Reading of the table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Gen-AI methods</w:t>
      </w:r>
      <w:r>
        <w:t xml:space="preserve"> </w:t>
      </w:r>
      <w:r>
        <w:t xml:space="preserve">(LayoutDM, DocSynth, SAYRE, DocDjinn) are either geometry/layout-only, target the wrong task, or are unreleased preprints. The two that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emit KIE labels (SAYRE, DocDjinn) are not adoptable components today. The ticket's premise that Gen AI has advanced synthetic</w:t>
      </w:r>
      <w:r>
        <w:t xml:space="preserve"> </w:t>
      </w:r>
      <w:r>
        <w:rPr>
          <w:i/>
          <w:iCs/>
        </w:rPr>
        <w:t xml:space="preserve">document</w:t>
      </w:r>
      <w:r>
        <w:t xml:space="preserve"> </w:t>
      </w:r>
      <w:r>
        <w:t xml:space="preserve">generation is true for realism and for training-data augmentation, but the answer-key-grade field labelling a benchmark needs is not yet available as permissive OSS.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Non-Gen-AI methods</w:t>
      </w:r>
      <w:r>
        <w:t xml:space="preserve"> </w:t>
      </w:r>
      <w:r>
        <w:t xml:space="preserve">(SynthDoG/SynthTIGER text rendering, Augraphy degradation, template/programmatic rendering as used in the incumbent) are the permissive, air-gap-friendly, recognised building blocks — but none supplies field-level boxes except a bespoke renderer instrumented to emit them at draw time.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one hard exclusion on licence grounds:</w:t>
      </w:r>
      <w:r>
        <w:t xml:space="preserve"> </w:t>
      </w:r>
      <w:r>
        <w:t xml:space="preserve">DocLayout-YOLO / DocSynth-300K generation code is</w:t>
      </w:r>
      <w:r>
        <w:t xml:space="preserve"> </w:t>
      </w:r>
      <w:r>
        <w:rPr>
          <w:b/>
          <w:bCs/>
        </w:rPr>
        <w:t xml:space="preserve">AGPL-3.0</w:t>
      </w:r>
      <w:r>
        <w:t xml:space="preserve">, unsuitable for this environment regardless of task fit.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X0f580ec57caa51ce5a67672eb466a77c04af20f"/>
    <w:p>
      <w:pPr>
        <w:pStyle w:val="Heading2"/>
      </w:pPr>
      <w:r>
        <w:t xml:space="preserve">4. Recognised datasets, formats &amp; scorers (the credibility backbone)</w:t>
      </w:r>
    </w:p>
    <w:bookmarkStart w:id="14" w:name="X853313fb3fabb65cdde79f549a7bd39f8c8790e"/>
    <w:p>
      <w:pPr>
        <w:pStyle w:val="Heading3"/>
      </w:pPr>
      <w:r>
        <w:t xml:space="preserve">4.1 Formats &amp; scorers — adopt these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What it defines</w:t>
            </w:r>
          </w:p>
        </w:tc>
        <w:tc>
          <w:tcPr/>
          <w:p>
            <w:pPr>
              <w:pStyle w:val="Compact"/>
            </w:pPr>
            <w:r>
              <w:t xml:space="preserve">Ground truth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Reference scorer licence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DocILE</w:t>
            </w:r>
            <w:r>
              <w:t xml:space="preserve"> </w:t>
            </w:r>
            <w:r>
              <w:rPr>
                <w:rStyle w:val="VerbatimChar"/>
              </w:rPr>
              <w:t xml:space="preserve">[arXiv:2302.05658; rossumai/docile]</w:t>
            </w:r>
          </w:p>
        </w:tc>
        <w:tc>
          <w:tcPr/>
          <w:p>
            <w:pPr>
              <w:pStyle w:val="Compact"/>
            </w:pPr>
            <w:r>
              <w:t xml:space="preserve">Two field-level IE tasks:</w:t>
            </w:r>
            <w:r>
              <w:t xml:space="preserve"> </w:t>
            </w:r>
            <w:r>
              <w:rPr>
                <w:b/>
                <w:bCs/>
              </w:rPr>
              <w:t xml:space="preserve">KILE</w:t>
            </w:r>
            <w:r>
              <w:t xml:space="preserve"> </w:t>
            </w:r>
            <w:r>
              <w:t xml:space="preserve">(Key Information Localisation &amp; Extraction) and</w:t>
            </w:r>
            <w:r>
              <w:t xml:space="preserve"> </w:t>
            </w:r>
            <w:r>
              <w:rPr>
                <w:b/>
                <w:bCs/>
              </w:rPr>
              <w:t xml:space="preserve">LIR</w:t>
            </w:r>
            <w:r>
              <w:t xml:space="preserve"> </w:t>
            </w:r>
            <w:r>
              <w:t xml:space="preserve">(Line Item Recognition), for invoices/orders</w:t>
            </w:r>
          </w:p>
        </w:tc>
        <w:tc>
          <w:tcPr/>
          <w:p>
            <w:pPr>
              <w:pStyle w:val="Compact"/>
            </w:pPr>
            <w:r>
              <w:t xml:space="preserve">Per field:</w:t>
            </w:r>
            <w:r>
              <w:t xml:space="preserve"> </w:t>
            </w:r>
            <w:r>
              <w:rPr>
                <w:rStyle w:val="VerbatimChar"/>
              </w:rPr>
              <w:t xml:space="preserve">(bounding box + page, field type, text)</w:t>
            </w:r>
            <w:r>
              <w:t xml:space="preserve">; LIR fields also carry a line-item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</w:t>
            </w:r>
            <w:r>
              <w:t xml:space="preserve"> </w:t>
            </w:r>
            <w:r>
              <w:t xml:space="preserve">for KILE (CLEval pseudo-character-centre, not IoU);</w:t>
            </w:r>
            <w:r>
              <w:t xml:space="preserve"> </w:t>
            </w:r>
            <w:r>
              <w:rPr>
                <w:b/>
                <w:bCs/>
              </w:rPr>
              <w:t xml:space="preserve">micro-F1</w:t>
            </w:r>
            <w:r>
              <w:t xml:space="preserve"> </w:t>
            </w:r>
            <w:r>
              <w:t xml:space="preserve">for LIR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</w:t>
            </w:r>
            <w:r>
              <w:t xml:space="preserve"> </w:t>
            </w:r>
            <w:r>
              <w:t xml:space="preserve">(scorer + loader, verified against raw</w:t>
            </w:r>
            <w:r>
              <w:t xml:space="preserve"> </w:t>
            </w:r>
            <w:r>
              <w:rPr>
                <w:rStyle w:val="VerbatimChar"/>
              </w:rPr>
              <w:t xml:space="preserve">LICENSE</w:t>
            </w:r>
            <w:r>
              <w:t xml:space="preserve">) —</w:t>
            </w:r>
            <w:r>
              <w:t xml:space="preserve"> </w:t>
            </w:r>
            <w:r>
              <w:rPr>
                <w:b/>
                <w:bCs/>
              </w:rPr>
              <w:t xml:space="preserve">air-gap vendorable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CORD</w:t>
            </w:r>
            <w:r>
              <w:t xml:space="preserve"> </w:t>
            </w:r>
            <w:r>
              <w:rPr>
                <w:rStyle w:val="VerbatimChar"/>
              </w:rPr>
              <w:t xml:space="preserve">[clovaai/cord]</w:t>
            </w:r>
          </w:p>
        </w:tc>
        <w:tc>
          <w:tcPr/>
          <w:p>
            <w:pPr>
              <w:pStyle w:val="Compact"/>
            </w:pPr>
            <w:r>
              <w:t xml:space="preserve">Receipt IE with hierarchical</w:t>
            </w:r>
            <w:r>
              <w:t xml:space="preserve"> </w:t>
            </w:r>
            <w:r>
              <w:rPr>
                <w:rStyle w:val="VerbatimChar"/>
              </w:rPr>
              <w:t xml:space="preserve">gt_parse</w:t>
            </w:r>
          </w:p>
        </w:tc>
        <w:tc>
          <w:tcPr/>
          <w:p>
            <w:pPr>
              <w:pStyle w:val="Compact"/>
            </w:pPr>
            <w:r>
              <w:t xml:space="preserve">Field-level bounding boxes + OCR text + hierarchical parse</w:t>
            </w:r>
          </w:p>
        </w:tc>
        <w:tc>
          <w:tcPr/>
          <w:p>
            <w:pPr>
              <w:pStyle w:val="Compact"/>
            </w:pPr>
            <w:r>
              <w:t xml:space="preserve">Tree-edit-distance accuracy over</w:t>
            </w:r>
            <w:r>
              <w:t xml:space="preserve"> </w:t>
            </w:r>
            <w:r>
              <w:rPr>
                <w:rStyle w:val="VerbatimChar"/>
              </w:rPr>
              <w:t xml:space="preserve">gt_parse</w:t>
            </w:r>
          </w:p>
        </w:tc>
        <w:tc>
          <w:tcPr/>
          <w:p>
            <w:pPr>
              <w:pStyle w:val="Compact"/>
            </w:pPr>
            <w:r>
              <w:t xml:space="preserve">Public release; already exported to by the pipeline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licence scoping — state this explicitly in any write-up:</w:t>
      </w:r>
      <w:r>
        <w:t xml:space="preserve"> </w:t>
      </w:r>
      <w:r>
        <w:t xml:space="preserve">DocILE's</w:t>
      </w:r>
      <w:r>
        <w:t xml:space="preserve"> </w:t>
      </w:r>
      <w:r>
        <w:rPr>
          <w:b/>
          <w:bCs/>
        </w:rPr>
        <w:t xml:space="preserve">MIT covers the code/scorer only</w:t>
      </w:r>
      <w:r>
        <w:t xml:space="preserve">. The DocILE</w:t>
      </w:r>
      <w:r>
        <w:t xml:space="preserve"> </w:t>
      </w:r>
      <w:r>
        <w:rPr>
          <w:b/>
          <w:bCs/>
        </w:rPr>
        <w:t xml:space="preserve">dataset</w:t>
      </w:r>
      <w:r>
        <w:t xml:space="preserve"> </w:t>
      </w:r>
      <w:r>
        <w:t xml:space="preserve">requires a Dataset Access Request under separate research terms. The pipeline's approach (vendor the MIT scorer; export</w:t>
      </w:r>
      <w:r>
        <w:t xml:space="preserve"> </w:t>
      </w:r>
      <w:r>
        <w:rPr>
          <w:i/>
          <w:iCs/>
        </w:rPr>
        <w:t xml:space="preserve">in-house</w:t>
      </w:r>
      <w:r>
        <w:t xml:space="preserve"> </w:t>
      </w:r>
      <w:r>
        <w:t xml:space="preserve">AU data to the DocILE format) relies solely on the MIT code, so the constraint is satisfied — but do not conflate "we use the DocILE format/scorer" with "we redistribute the DocILE dataset".</w:t>
      </w:r>
      <w:r>
        <w:t xml:space="preserve"> </w:t>
      </w:r>
      <w:r>
        <w:rPr>
          <w:rStyle w:val="VerbatimChar"/>
        </w:rPr>
        <w:t xml:space="preserve">[rossumai/docile LICENSE — verified 3-0]</w:t>
      </w:r>
    </w:p>
    <w:bookmarkEnd w:id="14"/>
    <w:bookmarkStart w:id="15" w:name="Xea56c68be17a2377462b2d08879713a86c2b4a9"/>
    <w:p>
      <w:pPr>
        <w:pStyle w:val="Heading3"/>
      </w:pPr>
      <w:r>
        <w:t xml:space="preserve">4.2 Datasets for triangulation —</w:t>
      </w:r>
      <w:r>
        <w:t xml:space="preserve"> </w:t>
      </w:r>
      <w:r>
        <w:rPr>
          <w:i/>
          <w:iCs/>
        </w:rPr>
        <w:t xml:space="preserve">partially verified in this pass</w:t>
      </w:r>
    </w:p>
    <w:p>
      <w:pPr>
        <w:pStyle w:val="FirstParagraph"/>
      </w:pPr>
      <w:r>
        <w:t xml:space="preserve">DocILE (invoices/orders, field-level boxes) and CORD (receipts, field-level boxes,</w:t>
      </w:r>
      <w:r>
        <w:t xml:space="preserve"> </w:t>
      </w:r>
      <w:r>
        <w:rPr>
          <w:rStyle w:val="VerbatimChar"/>
        </w:rPr>
        <w:t xml:space="preserve">gt_parse</w:t>
      </w:r>
      <w:r>
        <w:t xml:space="preserve">) were verified. The remaining named datasets (</w:t>
      </w:r>
      <w:r>
        <w:rPr>
          <w:b/>
          <w:bCs/>
        </w:rPr>
        <w:t xml:space="preserve">SROIE, FUNSD, RVL-CDIP, DocVQA, DUDE</w:t>
      </w:r>
      <w:r>
        <w:t xml:space="preserve">) were part of the brief but</w:t>
      </w:r>
      <w:r>
        <w:t xml:space="preserve"> </w:t>
      </w:r>
      <w:r>
        <w:rPr>
          <w:b/>
          <w:bCs/>
        </w:rPr>
        <w:t xml:space="preserve">did not surface as separately verified claims</w:t>
      </w:r>
      <w:r>
        <w:t xml:space="preserve"> </w:t>
      </w:r>
      <w:r>
        <w:t xml:space="preserve">in this run — their per-dataset licence and bounding-box availability are</w:t>
      </w:r>
      <w:r>
        <w:t xml:space="preserve"> </w:t>
      </w:r>
      <w:r>
        <w:rPr>
          <w:b/>
          <w:bCs/>
        </w:rPr>
        <w:t xml:space="preserve">UNVERIFIED here</w:t>
      </w:r>
      <w:r>
        <w:t xml:space="preserve"> </w:t>
      </w:r>
      <w:r>
        <w:t xml:space="preserve">and are listed as an open question (§6). Do not assert their terms without a follow-up pass.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0e3bbbbc96ebb572b17799bf0ee4d27c5379fda"/>
    <w:p>
      <w:pPr>
        <w:pStyle w:val="Heading2"/>
      </w:pPr>
      <w:r>
        <w:t xml:space="preserve">5. The synthetic-to-real gap — honest caveats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Best-case published augmentation reaches ~87% of full-real performance</w:t>
      </w:r>
      <w:r>
        <w:t xml:space="preserve"> </w:t>
      </w:r>
      <w:r>
        <w:t xml:space="preserve">(DocDjinn, 100 real + 140k synthetic, averaged over eleven benchmarks) — but this is a single-team, unreviewed preprint self-report, an average masking per-task variance</w:t>
      </w:r>
      <w:r>
        <w:t xml:space="preserve"> </w:t>
      </w:r>
      <w:r>
        <w:rPr>
          <w:rStyle w:val="VerbatimChar"/>
        </w:rPr>
        <w:t xml:space="preserve">[arXiv:2602.21824 — verified 2-1]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Synthetic pre-training helps but is not uniformly monotonic</w:t>
      </w:r>
      <w:r>
        <w:t xml:space="preserve"> </w:t>
      </w:r>
      <w:r>
        <w:t xml:space="preserve">— DocILE's own results improved in all cases except LIR for one RoBERTa configuration</w:t>
      </w:r>
      <w:r>
        <w:t xml:space="preserve"> </w:t>
      </w:r>
      <w:r>
        <w:rPr>
          <w:rStyle w:val="VerbatimChar"/>
        </w:rPr>
        <w:t xml:space="preserve">[arXiv:2302.05658 — verified 2-1]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Consequence for this benchmark:</w:t>
      </w:r>
      <w:r>
        <w:t xml:space="preserve"> </w:t>
      </w:r>
      <w:r>
        <w:t xml:space="preserve">report VLM extraction scores against the synthetic set</w:t>
      </w:r>
      <w:r>
        <w:t xml:space="preserve"> </w:t>
      </w:r>
      <w:r>
        <w:rPr>
          <w:b/>
          <w:bCs/>
        </w:rPr>
        <w:t xml:space="preserve">alongside a small real/held-out validation set</w:t>
      </w:r>
      <w:r>
        <w:t xml:space="preserve">, so results are triangulated rather than synthetic-only. This is both good practice and a pre-emptive answer to the obvious external critique of a synthetic benchmark.</w:t>
      </w:r>
    </w:p>
    <w:p>
      <w:r>
        <w:pict>
          <v:rect style="width:0;height:1.5pt" o:hralign="center" o:hrstd="t" o:hr="t"/>
        </w:pict>
      </w:r>
    </w:p>
    <w:bookmarkEnd w:id="17"/>
    <w:bookmarkStart w:id="18" w:name="X9c9f5972eef2af9b2c214f176093fcb7cdc6a42"/>
    <w:p>
      <w:pPr>
        <w:pStyle w:val="Heading2"/>
      </w:pPr>
      <w:r>
        <w:t xml:space="preserve">6. Recommendation — hybrid, mapped to requirements</w:t>
      </w:r>
    </w:p>
    <w:p>
      <w:pPr>
        <w:pStyle w:val="FirstParagraph"/>
      </w:pPr>
      <w:r>
        <w:rPr>
          <w:b/>
          <w:bCs/>
        </w:rPr>
        <w:t xml:space="preserve">Adopt (recognised, permissive, air-gap-safe) — for credibility: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DocILE KILE/LIR format + MIT scorer</w:t>
      </w:r>
      <w:r>
        <w:t xml:space="preserve"> </w:t>
      </w:r>
      <w:r>
        <w:t xml:space="preserve">— already in place; keep and foreground 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gt_parse</w:t>
      </w:r>
      <w:r>
        <w:rPr>
          <w:b/>
          <w:bCs/>
        </w:rP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— already in place.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Augraphy (MIT)</w:t>
      </w:r>
      <w:r>
        <w:t xml:space="preserve"> </w:t>
      </w:r>
      <w:r>
        <w:t xml:space="preserve">— recognised degradation layer stacked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box generation; preserves supplied boxes.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Optional:</w:t>
      </w:r>
      <w:r>
        <w:t xml:space="preserve"> </w:t>
      </w:r>
      <w:r>
        <w:rPr>
          <w:b/>
          <w:bCs/>
        </w:rPr>
        <w:t xml:space="preserve">SynthDoG/SynthTIGER (MIT)</w:t>
      </w:r>
      <w:r>
        <w:t xml:space="preserve"> </w:t>
      </w:r>
      <w:r>
        <w:t xml:space="preserve">as recognised text-render components where useful.</w:t>
      </w:r>
    </w:p>
    <w:p>
      <w:pPr>
        <w:pStyle w:val="FirstParagraph"/>
      </w:pPr>
      <w:r>
        <w:rPr>
          <w:b/>
          <w:bCs/>
        </w:rPr>
        <w:t xml:space="preserve">Retain as bespoke — defensible because no permissive OSS covers it, citing DocILE's own construction as precedent:</w:t>
      </w:r>
    </w:p>
    <w:p>
      <w:pPr>
        <w:pStyle w:val="Compact"/>
        <w:numPr>
          <w:ilvl w:val="0"/>
          <w:numId w:val="1005"/>
        </w:numPr>
      </w:pPr>
      <w:r>
        <w:t xml:space="preserve">Australian + trust-distribution content fidelity (checksum-valid ABN/TFN, GST = total/11, transaction/quad linking).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Render-time, field-level bounding boxes</w:t>
      </w:r>
      <w:r>
        <w:t xml:space="preserve"> </w:t>
      </w:r>
      <w:r>
        <w:t xml:space="preserve">(the KILE/LIR requirement no OSS generator emits).</w:t>
      </w:r>
    </w:p>
    <w:p>
      <w:pPr>
        <w:pStyle w:val="Compact"/>
        <w:numPr>
          <w:ilvl w:val="0"/>
          <w:numId w:val="1005"/>
        </w:numPr>
      </w:pPr>
      <w:r>
        <w:t xml:space="preserve">Byte-stable reproducibility (pinned Pillow font metrics).</w:t>
      </w:r>
    </w:p>
    <w:p>
      <w:pPr>
        <w:pStyle w:val="Compact"/>
        <w:numPr>
          <w:ilvl w:val="0"/>
          <w:numId w:val="1005"/>
        </w:numPr>
      </w:pPr>
      <w:r>
        <w:t xml:space="preserve">Air-gapped operation with no runtime external calls.</w:t>
      </w:r>
    </w:p>
    <w:p>
      <w:pPr>
        <w:pStyle w:val="FirstParagraph"/>
      </w:pPr>
      <w:r>
        <w:rPr>
          <w:b/>
          <w:bCs/>
        </w:rPr>
        <w:t xml:space="preserve">Do not adopt:</w:t>
      </w:r>
    </w:p>
    <w:p>
      <w:pPr>
        <w:pStyle w:val="Compact"/>
        <w:numPr>
          <w:ilvl w:val="0"/>
          <w:numId w:val="1006"/>
        </w:numPr>
      </w:pPr>
      <w:r>
        <w:t xml:space="preserve">DocLayout-YOLO / DocSynth-300K generator (</w:t>
      </w:r>
      <w:r>
        <w:rPr>
          <w:b/>
          <w:bCs/>
        </w:rPr>
        <w:t xml:space="preserve">AGPL-3.0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SAYRE / DocDjinn as components (unreleased preprints) — cite as method precedent only, and re-check their repos before relying on them.</w:t>
      </w:r>
    </w:p>
    <w:p>
      <w:pPr>
        <w:pStyle w:val="FirstParagraph"/>
      </w:pPr>
      <w:r>
        <w:rPr>
          <w:b/>
          <w:bCs/>
        </w:rPr>
        <w:t xml:space="preserve">One-line positioning statement for leadership:</w:t>
      </w:r>
      <w:r>
        <w:t xml:space="preserve"> </w:t>
      </w:r>
      <w:r>
        <w:rPr>
          <w:i/>
          <w:iCs/>
        </w:rPr>
        <w:t xml:space="preserve">"Our benchmark stands on the field's recognised evaluation standards — DocILE (KILE/LIR) and CORD, with their published MIT scorers — exactly as the flagship DocILE benchmark itself was constructed; the only bespoke element is the Australian/trust domain generator with render-time field boxes, a capability no permissively-licensed open-source tool provides."</w:t>
      </w:r>
    </w:p>
    <w:p>
      <w:r>
        <w:pict>
          <v:rect style="width:0;height:1.5pt" o:hralign="center" o:hrstd="t" o:hr="t"/>
        </w:pict>
      </w:r>
    </w:p>
    <w:bookmarkEnd w:id="18"/>
    <w:bookmarkStart w:id="19" w:name="X7980f6cbedd24c1cf74ff1a523e4416c9898a1a"/>
    <w:p>
      <w:pPr>
        <w:pStyle w:val="Heading2"/>
      </w:pPr>
      <w:r>
        <w:t xml:space="preserve">7. Open questions (for a follow-up pass)</w:t>
      </w:r>
    </w:p>
    <w:p>
      <w:pPr>
        <w:pStyle w:val="Compact"/>
        <w:numPr>
          <w:ilvl w:val="0"/>
          <w:numId w:val="1007"/>
        </w:numPr>
      </w:pPr>
      <w:r>
        <w:t xml:space="preserve">Exact licences and field-level bbox availability of</w:t>
      </w:r>
      <w:r>
        <w:t xml:space="preserve"> </w:t>
      </w:r>
      <w:r>
        <w:rPr>
          <w:b/>
          <w:bCs/>
        </w:rPr>
        <w:t xml:space="preserve">SROIE, FUNSD, RVL-CDIP, DocVQA, DUDE</w:t>
      </w:r>
      <w:r>
        <w:t xml:space="preserve">, and which contain invoice/receipt/bank/financial documents suitable for triangulation.</w:t>
      </w:r>
      <w:r>
        <w:t xml:space="preserve"> </w:t>
      </w:r>
      <w:r>
        <w:rPr>
          <w:i/>
          <w:iCs/>
        </w:rPr>
        <w:t xml:space="preserve">(Named in brief; not verified this run.)</w:t>
      </w:r>
    </w:p>
    <w:p>
      <w:pPr>
        <w:pStyle w:val="Compact"/>
        <w:numPr>
          <w:ilvl w:val="0"/>
          <w:numId w:val="1007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SAYRE</w:t>
      </w:r>
      <w:r>
        <w:t xml:space="preserve"> </w:t>
      </w:r>
      <w:r>
        <w:t xml:space="preserve">and/or</w:t>
      </w:r>
      <w:r>
        <w:t xml:space="preserve"> </w:t>
      </w:r>
      <w:r>
        <w:rPr>
          <w:b/>
          <w:bCs/>
        </w:rPr>
        <w:t xml:space="preserve">DocDjinn</w:t>
      </w:r>
      <w:r>
        <w:t xml:space="preserve"> </w:t>
      </w:r>
      <w:r>
        <w:t xml:space="preserve">have (or plan) a public repo with a permissive MIT/BSD/Apache licence and pure pip/conda install with no runtime external calls — i.e. could either become adoptable rather than merely citable?</w:t>
      </w:r>
    </w:p>
    <w:p>
      <w:pPr>
        <w:pStyle w:val="Compact"/>
        <w:numPr>
          <w:ilvl w:val="0"/>
          <w:numId w:val="1007"/>
        </w:numPr>
      </w:pPr>
      <w:r>
        <w:t xml:space="preserve">Is there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recognised, permissively-licensed OSS generator emitting render-time</w:t>
      </w:r>
      <w:r>
        <w:t xml:space="preserve"> </w:t>
      </w:r>
      <w:r>
        <w:rPr>
          <w:b/>
          <w:bCs/>
        </w:rPr>
        <w:t xml:space="preserve">field-level</w:t>
      </w:r>
      <w:r>
        <w:t xml:space="preserve"> </w:t>
      </w:r>
      <w:r>
        <w:t xml:space="preserve">(KILE/LIR) boxes out of the box?</w:t>
      </w:r>
      <w:r>
        <w:t xml:space="preserve"> </w:t>
      </w:r>
      <w:r>
        <w:rPr>
          <w:i/>
          <w:iCs/>
        </w:rPr>
        <w:t xml:space="preserve">(Current evidence: no — bespoke instrumentation is the only option.)</w:t>
      </w:r>
    </w:p>
    <w:p>
      <w:pPr>
        <w:pStyle w:val="Compact"/>
        <w:numPr>
          <w:ilvl w:val="0"/>
          <w:numId w:val="1007"/>
        </w:numPr>
      </w:pPr>
      <w:r>
        <w:t xml:space="preserve">Is there a published crosswalk from the pipeline's</w:t>
      </w:r>
      <w:r>
        <w:t xml:space="preserve"> </w:t>
      </w:r>
      <w:r>
        <w:rPr>
          <w:b/>
          <w:bCs/>
        </w:rPr>
        <w:t xml:space="preserve">46-column schema</w:t>
      </w:r>
      <w:r>
        <w:t xml:space="preserve"> </w:t>
      </w:r>
      <w:r>
        <w:t xml:space="preserve">to DocILE field types / CORD</w:t>
      </w:r>
      <w:r>
        <w:t xml:space="preserve"> </w:t>
      </w:r>
      <w:r>
        <w:rPr>
          <w:rStyle w:val="VerbatimChar"/>
        </w:rPr>
        <w:t xml:space="preserve">gt_parse</w:t>
      </w:r>
      <w:r>
        <w:t xml:space="preserve"> </w:t>
      </w:r>
      <w:r>
        <w:t xml:space="preserve">categories that would further strengthen the "exports to recognised formats" story?</w:t>
      </w:r>
    </w:p>
    <w:p>
      <w:r>
        <w:pict>
          <v:rect style="width:0;height:1.5pt" o:hralign="center" o:hrstd="t" o:hr="t"/>
        </w:pict>
      </w:r>
    </w:p>
    <w:bookmarkEnd w:id="19"/>
    <w:bookmarkStart w:id="20" w:name="Xc8551c2f2dcd819ab222f3940ee1a269ec0feec"/>
    <w:p>
      <w:pPr>
        <w:pStyle w:val="Heading2"/>
      </w:pPr>
      <w:r>
        <w:t xml:space="preserve">8. Appendix — sources &amp; verification status</w:t>
      </w:r>
    </w:p>
    <w:p>
      <w:pPr>
        <w:pStyle w:val="FirstParagraph"/>
      </w:pPr>
      <w:r>
        <w:rPr>
          <w:b/>
          <w:bCs/>
        </w:rPr>
        <w:t xml:space="preserve">Confidence key:</w:t>
      </w:r>
      <w:r>
        <w:t xml:space="preserve"> </w:t>
      </w:r>
      <w:r>
        <w:t xml:space="preserve">High = verified 3-0 by the adversarial panel; Medium = verified 2-1 or an inference beyond the primary claim; Refuted = killed by 2/3 vote.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Vote</w:t>
            </w:r>
          </w:p>
        </w:tc>
        <w:tc>
          <w:tcPr/>
          <w:p>
            <w:pPr>
              <w:pStyle w:val="Compact"/>
            </w:pPr>
            <w:r>
              <w:t xml:space="preserve">Primary source(s)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DocILE defines KILE+LIR, ships field-level boxes, AP/F1 scoring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3-0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arXiv:2302.05658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docile.rossum.ai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github.com/rossumai/docile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DocILE scorer/loader is MIT (code only; dataset separate)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3-0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raw.githubusercontent.com/rossumai/docile/main/LICENSE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recognised OSS generator emits field-level KILE/LIR boxes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3-0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github.com/clovaai/donut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arXiv:2107.09313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github.com/clovaai/synthtiger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SynthDoG/SynthTIGER are MIT + air-gap installable (render only)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3-0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github.com/clovaai/donut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github.com/clovaai/synthtiger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Augraphy = MIT degradation layer; transforms supplied boxes, generates none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3-0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arXiv:2208.14558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augraphy.readthedocs.io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DocSynth/LayoutDM/SynthDoc/DocSynth-300K target wrong task; DocLayout-YOLO is AGPL-3.0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3-0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arXiv:2408.14764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arXiv:2107.02638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arXiv:2303.08137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arXiv:2410.12628</w:t>
            </w:r>
            <w:r>
              <w:t xml:space="preserve">; DocLayout-YOLO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SAYRE/DocDjinn emit KIE triples but are unreleased/unlicensed preprints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3-0 (existence); availability inferred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arXiv:2607.04636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arXiv:2602.21824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Bespoke generator + recognised formats/scorers is the accepted construction (DocILE precedent)</w:t>
            </w:r>
          </w:p>
        </w:tc>
        <w:tc>
          <w:tcPr/>
          <w:p>
            <w:pPr>
              <w:pStyle w:val="Compact"/>
            </w:pPr>
            <w:r>
              <w:t xml:space="preserve">High (construction)</w:t>
            </w:r>
          </w:p>
        </w:tc>
        <w:tc>
          <w:tcPr/>
          <w:p>
            <w:pPr>
              <w:pStyle w:val="Compact"/>
            </w:pPr>
            <w:r>
              <w:t xml:space="preserve">3-0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arXiv:2302.05658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Synthetic pre-training empirically helpful (DocILE); ~87% of real (DocDjinn)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arXiv:2302.05658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arXiv:2602.21824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Refuted:</w:t>
            </w:r>
            <w:r>
              <w:t xml:space="preserve"> </w:t>
            </w:r>
            <w:r>
              <w:t xml:space="preserve">"SynthTIGER attaches only a text string" — it does attach glyph-level boxes within word crops (still not document-field-level)</w:t>
            </w:r>
          </w:p>
        </w:tc>
        <w:tc>
          <w:tcPr/>
          <w:p>
            <w:pPr>
              <w:pStyle w:val="Compact"/>
            </w:pPr>
            <w:r>
              <w:t xml:space="preserve">Refuted</w:t>
            </w:r>
          </w:p>
        </w:tc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arXiv:2107.09313</w:t>
            </w:r>
          </w:p>
        </w:tc>
      </w:tr>
    </w:tbl>
    <w:p>
      <w:pPr>
        <w:pStyle w:val="BodyText"/>
      </w:pPr>
      <w:r>
        <w:rPr>
          <w:b/>
          <w:bCs/>
        </w:rPr>
        <w:t xml:space="preserve">Coverage caveats:</w:t>
      </w:r>
      <w:r>
        <w:t xml:space="preserve"> </w:t>
      </w:r>
      <w:r>
        <w:t xml:space="preserve">fast-moving field — the two KIE-emitting generators are 2026 preprints; re-check before relying on them. The public-dataset licence matrix (beyond DocILE and CORD) is only partially covered — see §6/§7. The two empirical/validation claims are author-self-reported and passed only 2-1; treat as supportive precedent, not independent proof.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Calibri" w:cs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before="240" w:line="240" w:lineRule="auto"/>
      <w:contextualSpacing/>
      <w:jc w:val="center"/>
    </w:pPr>
    <w:rPr>
      <w:rFonts w:ascii="Calibri Light" w:asciiTheme="majorHAnsi" w:cs="Calibri Light" w:cstheme="majorBidi" w:eastAsiaTheme="majorEastAsia" w:hAnsi="Calibri Light" w:hAnsiTheme="majorHAnsi"/>
      <w:b/>
      <w:color w:val="1F407A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40"/>
      <w:outlineLvl w:val="0"/>
    </w:pPr>
    <w:rPr>
      <w:rFonts w:ascii="Calibri Light" w:asciiTheme="majorHAnsi" w:cs="Calibri Light" w:cstheme="majorBidi" w:eastAsiaTheme="majorEastAsia" w:hAnsi="Calibri Light" w:hAnsiTheme="majorHAnsi"/>
      <w:b/>
      <w:color w:val="1F407A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40"/>
      <w:outlineLvl w:val="1"/>
    </w:pPr>
    <w:rPr>
      <w:rFonts w:ascii="Calibri Light" w:asciiTheme="majorHAnsi" w:cs="Calibri Light" w:cstheme="majorBidi" w:eastAsiaTheme="majorEastAsia" w:hAnsi="Calibri Light" w:hAnsiTheme="majorHAnsi"/>
      <w:b/>
      <w:color w:val="1F407A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40"/>
      <w:outlineLvl w:val="2"/>
    </w:pPr>
    <w:rPr>
      <w:rFonts w:ascii="Calibri Light" w:cs="Calibri Light" w:cstheme="majorBidi" w:eastAsiaTheme="majorEastAsia" w:hAnsi="Calibri Light"/>
      <w:b/>
      <w:color w:val="1F407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2026-07-24T02:03:07Z</dcterms:created>
  <dcterms:modified xsi:type="dcterms:W3CDTF">2026-07-24T02:03:07Z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