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Attachment</w:t>
      </w:r>
      <w:r>
        <w:t xml:space="preserve"> </w:t>
      </w:r>
      <w:r>
        <w:t xml:space="preserve">A,</w:t>
      </w:r>
      <w:r>
        <w:t xml:space="preserve"> </w:t>
      </w:r>
      <w:r>
        <w:t xml:space="preserve">Migration</w:t>
      </w:r>
      <w:r>
        <w:t xml:space="preserve"> </w:t>
      </w:r>
      <w:r>
        <w:t xml:space="preserve">to</w:t>
      </w:r>
      <w:r>
        <w:t xml:space="preserve"> </w:t>
      </w:r>
      <w:r>
        <w:t xml:space="preserve">Groundwater</w:t>
      </w:r>
      <w:r>
        <w:t xml:space="preserve"> </w:t>
      </w:r>
      <w:r>
        <w:t xml:space="preserve">Screening</w:t>
      </w:r>
      <w:r>
        <w:t xml:space="preserve"> </w:t>
      </w:r>
      <w:r>
        <w:t xml:space="preserve">Level</w:t>
      </w:r>
      <w:r>
        <w:t xml:space="preserve"> </w:t>
      </w:r>
      <w:r>
        <w:t xml:space="preserve">Calculations</w:t>
      </w:r>
    </w:p>
    <w:p>
      <w:pPr>
        <w:pStyle w:val="Author"/>
      </w:pPr>
      <w:r>
        <w:t xml:space="preserve">Western</w:t>
      </w:r>
      <w:r>
        <w:t xml:space="preserve"> </w:t>
      </w:r>
      <w:r>
        <w:t xml:space="preserve">Sugar</w:t>
      </w:r>
      <w:r>
        <w:t xml:space="preserve"> </w:t>
      </w:r>
      <w:r>
        <w:t xml:space="preserve">Cooperative,</w:t>
      </w:r>
      <w:r>
        <w:t xml:space="preserve"> </w:t>
      </w:r>
      <w:r>
        <w:t xml:space="preserve">Torrington,</w:t>
      </w:r>
      <w:r>
        <w:t xml:space="preserve"> </w:t>
      </w:r>
      <w:r>
        <w:t xml:space="preserve">Wyoming</w:t>
      </w:r>
    </w:p>
    <w:p>
      <w:pPr>
        <w:pStyle w:val="Date"/>
      </w:pPr>
      <w:r>
        <w:t xml:space="preserve">11/11/2020</w:t>
      </w:r>
    </w:p>
    <w:p>
      <w:pPr>
        <w:pStyle w:val="FirstParagraph"/>
      </w:pPr>
      <w:r>
        <w:t xml:space="preserve">This attachment describes calculation of migration to groundwater (MTGW) screening levels for nitrate and ammonia at the Western Sugar Cooperative (WSC) Facility in Torrington, Wyoming. Wyoming Department of Environmental Quality (WDEQ) Voluntary Remediation Program (VRP) Fact Sheet #12 indicates that if a pre-calculated migration to groundwater value is not provided in the VRP Cleanup Level Look-up Table (WDEQ 2018a), one must be calculated. MTGW standards for soil for nitrate as N, nitrite as N, and ammonia nitrogen are not included in VRP Fact Sheet #12. As described herein, site-specific MTGW screening levels for soil were developed based upon the equations presented in the WDEQ VRP Technical Support Memorandum: Development of Migration to Groundwater Cleanup Levels (WDEQ, 2018b) and the EPA Soil Screening Guidance, Technical Background Document (USEPA, 1996).</w:t>
      </w:r>
    </w:p>
    <w:p>
      <w:pPr>
        <w:pStyle w:val="BodyText"/>
      </w:pPr>
      <w:r>
        <w:t xml:space="preserve">The WSC Torrington Facility is located adjacent to another agricultural facility operated by J.R. Simplot (Tetra Tech 2018). Tetra Tech (2018) reviewed subregional hydrogeology and provided estimates of several relevant hydrogeologic parameters, including infiltration (recharge) rate, hydraulic conductivity, aquifer thickness and aquifer mixing depth. Tetra Tech (2018) went on to calculate a dilution-attenuation factor (DAF) using USEPA (1996) Equation 11, which is reprinted below:</w:t>
      </w:r>
    </w:p>
    <w:p>
      <w:pPr>
        <w:pStyle w:val="BodyText"/>
      </w:pPr>
      <m:oMathPara>
        <m:oMathParaPr>
          <m:jc m:val="center"/>
        </m:oMathParaPr>
        <m:oMath>
          <m:r>
            <m:t>D</m:t>
          </m:r>
          <m:r>
            <m:t>A</m:t>
          </m:r>
          <m:r>
            <m:t>F</m:t>
          </m:r>
          <m:r>
            <m:t>=</m:t>
          </m:r>
          <m:r>
            <m:t>1</m:t>
          </m:r>
          <m:r>
            <m:t>+</m:t>
          </m:r>
          <m:d>
            <m:dPr>
              <m:begChr m:val="("/>
              <m:endChr m:val=")"/>
              <m:grow/>
            </m:dPr>
            <m:e>
              <m:f>
                <m:fPr>
                  <m:type m:val="bar"/>
                </m:fPr>
                <m:num>
                  <m:r>
                    <m:t>K</m:t>
                  </m:r>
                  <m:r>
                    <m:t>i</m:t>
                  </m:r>
                  <m:r>
                    <m:t>d</m:t>
                  </m:r>
                </m:num>
                <m:den>
                  <m:r>
                    <m:t>I</m:t>
                  </m:r>
                  <m:r>
                    <m:t>L</m:t>
                  </m:r>
                </m:den>
              </m:f>
            </m:e>
          </m:d>
        </m:oMath>
      </m:oMathPara>
    </w:p>
    <w:p>
      <w:pPr>
        <w:pStyle w:val="FirstParagraph"/>
      </w:pPr>
      <w:r>
        <w:t xml:space="preserve">where</w:t>
      </w:r>
    </w:p>
    <w:p>
      <w:pPr>
        <w:pStyle w:val="Compact"/>
        <w:numPr>
          <w:numId w:val="1001"/>
          <w:ilvl w:val="0"/>
        </w:numPr>
      </w:pPr>
      <m:oMath>
        <m:r>
          <m:t>D</m:t>
        </m:r>
        <m:r>
          <m:t>A</m:t>
        </m:r>
        <m:r>
          <m:t>F</m:t>
        </m:r>
      </m:oMath>
      <w:r>
        <w:t xml:space="preserve"> </w:t>
      </w:r>
      <w:r>
        <w:t xml:space="preserve">= dilution attenuation factor, unitless</w:t>
      </w:r>
    </w:p>
    <w:p>
      <w:pPr>
        <w:pStyle w:val="Compact"/>
        <w:numPr>
          <w:numId w:val="1001"/>
          <w:ilvl w:val="0"/>
        </w:numPr>
      </w:pPr>
      <m:oMath>
        <m:r>
          <m:t>K</m:t>
        </m:r>
      </m:oMath>
      <w:r>
        <w:t xml:space="preserve"> </w:t>
      </w:r>
      <w:r>
        <w:t xml:space="preserve">= hydraulic conductivity (</w:t>
      </w:r>
      <m:oMath>
        <m:r>
          <m:t>m</m:t>
        </m:r>
        <m:r>
          <m:t>/</m:t>
        </m:r>
        <m:r>
          <m:t>y</m:t>
        </m:r>
        <m:r>
          <m:t>r</m:t>
        </m:r>
      </m:oMath>
      <w:r>
        <w:t xml:space="preserve">)</w:t>
      </w:r>
    </w:p>
    <w:p>
      <w:pPr>
        <w:pStyle w:val="Compact"/>
        <w:numPr>
          <w:numId w:val="1001"/>
          <w:ilvl w:val="0"/>
        </w:numPr>
      </w:pPr>
      <m:oMath>
        <m:r>
          <m:t>i</m:t>
        </m:r>
      </m:oMath>
      <w:r>
        <w:t xml:space="preserve"> </w:t>
      </w:r>
      <w:r>
        <w:t xml:space="preserve">= hydraulic gradient (</w:t>
      </w:r>
      <m:oMath>
        <m:r>
          <m:t>m</m:t>
        </m:r>
        <m:r>
          <m:t>/</m:t>
        </m:r>
        <m:r>
          <m:t>m</m:t>
        </m:r>
      </m:oMath>
      <w:r>
        <w:t xml:space="preserve">)</w:t>
      </w:r>
    </w:p>
    <w:p>
      <w:pPr>
        <w:pStyle w:val="Compact"/>
        <w:numPr>
          <w:numId w:val="1001"/>
          <w:ilvl w:val="0"/>
        </w:numPr>
      </w:pPr>
      <m:oMath>
        <m:r>
          <m:t>d</m:t>
        </m:r>
      </m:oMath>
      <w:r>
        <w:t xml:space="preserve"> </w:t>
      </w:r>
      <w:r>
        <w:t xml:space="preserve">= aquifer mixing depth (</w:t>
      </w:r>
      <m:oMath>
        <m:r>
          <m:t>m</m:t>
        </m:r>
      </m:oMath>
      <w:r>
        <w:t xml:space="preserve">)</w:t>
      </w:r>
    </w:p>
    <w:p>
      <w:pPr>
        <w:pStyle w:val="Compact"/>
        <w:numPr>
          <w:numId w:val="1001"/>
          <w:ilvl w:val="0"/>
        </w:numPr>
      </w:pPr>
      <m:oMath>
        <m:r>
          <m:t>I</m:t>
        </m:r>
      </m:oMath>
      <w:r>
        <w:t xml:space="preserve"> </w:t>
      </w:r>
      <w:r>
        <w:t xml:space="preserve">= infiltration (recharge) rate (</w:t>
      </w:r>
      <m:oMath>
        <m:r>
          <m:t>m</m:t>
        </m:r>
        <m:r>
          <m:t>/</m:t>
        </m:r>
        <m:r>
          <m:t>y</m:t>
        </m:r>
        <m:r>
          <m:t>r</m:t>
        </m:r>
      </m:oMath>
      <w:r>
        <w:t xml:space="preserve">)</w:t>
      </w:r>
    </w:p>
    <w:p>
      <w:pPr>
        <w:pStyle w:val="Compact"/>
        <w:numPr>
          <w:numId w:val="1001"/>
          <w:ilvl w:val="0"/>
        </w:numPr>
      </w:pPr>
      <m:oMath>
        <m:r>
          <m:t>L</m:t>
        </m:r>
      </m:oMath>
      <w:r>
        <w:t xml:space="preserve"> </w:t>
      </w:r>
      <w:r>
        <w:t xml:space="preserve">= Length of source parallel to flow (</w:t>
      </w:r>
      <m:oMath>
        <m:r>
          <m:t>m</m:t>
        </m:r>
      </m:oMath>
      <w:r>
        <w:t xml:space="preserve">)</w:t>
      </w:r>
    </w:p>
    <w:p>
      <w:pPr>
        <w:pStyle w:val="FirstParagraph"/>
      </w:pPr>
      <w:r>
        <w:t xml:space="preserve">The DAF is applied in the calculation of MTGW screening levels through the following equations:</w:t>
      </w:r>
    </w:p>
    <w:p>
      <w:pPr>
        <w:pStyle w:val="BodyText"/>
      </w:pPr>
      <m:oMathPara>
        <m:oMathParaPr>
          <m:jc m:val="center"/>
        </m:oMathParaPr>
        <m:oMath>
          <m:sSub>
            <m:e>
              <m:r>
                <m:t>C</m:t>
              </m:r>
            </m:e>
            <m:sub>
              <m:r>
                <m:t>t</m:t>
              </m:r>
            </m:sub>
          </m:sSub>
          <m:r>
            <m:t>=</m:t>
          </m:r>
          <m:sSub>
            <m:e>
              <m:r>
                <m:t>C</m:t>
              </m:r>
            </m:e>
            <m:sub>
              <m:r>
                <m:t>w</m:t>
              </m:r>
            </m:sub>
          </m:sSub>
          <m:r>
            <m:t>+</m:t>
          </m:r>
          <m:d>
            <m:dPr>
              <m:begChr m:val="{"/>
              <m:endChr m:val="}"/>
              <m:grow/>
            </m:dPr>
            <m:e>
              <m:d>
                <m:dPr>
                  <m:begChr m:val="("/>
                  <m:endChr m:val=")"/>
                  <m:grow/>
                </m:dPr>
                <m:e>
                  <m:sSub>
                    <m:e>
                      <m:r>
                        <m:t>K</m:t>
                      </m:r>
                    </m:e>
                    <m:sub>
                      <m:r>
                        <m:t>d</m:t>
                      </m:r>
                    </m:sub>
                  </m:sSub>
                </m:e>
              </m:d>
              <m:r>
                <m:t>+</m:t>
              </m:r>
              <m:f>
                <m:fPr>
                  <m:type m:val="bar"/>
                </m:fPr>
                <m:num>
                  <m:sSub>
                    <m:e>
                      <m:r>
                        <m:t>θ</m:t>
                      </m:r>
                    </m:e>
                    <m:sub>
                      <m:r>
                        <m:t>w</m:t>
                      </m:r>
                    </m:sub>
                  </m:sSub>
                  <m:r>
                    <m:t>+</m:t>
                  </m:r>
                  <m:sSub>
                    <m:e>
                      <m:r>
                        <m:t>θ</m:t>
                      </m:r>
                    </m:e>
                    <m:sub>
                      <m:r>
                        <m:t>a</m:t>
                      </m:r>
                    </m:sub>
                  </m:sSub>
                  <m:r>
                    <m:t>H</m:t>
                  </m:r>
                  <m:r>
                    <m:t>′</m:t>
                  </m:r>
                </m:num>
                <m:den>
                  <m:sSub>
                    <m:e>
                      <m:r>
                        <m:t>ρ</m:t>
                      </m:r>
                    </m:e>
                    <m:sub>
                      <m:r>
                        <m:t>b</m:t>
                      </m:r>
                    </m:sub>
                  </m:sSub>
                </m:den>
              </m:f>
            </m:e>
          </m:d>
        </m:oMath>
      </m:oMathPara>
    </w:p>
    <w:p>
      <w:pPr>
        <w:pStyle w:val="FirstParagraph"/>
      </w:pPr>
      <w:r>
        <w:t xml:space="preserve">which is Equation B from WDEQ (2018b) and Equation 10 in UESPA (1996), where:</w:t>
      </w:r>
    </w:p>
    <w:p>
      <w:pPr>
        <w:pStyle w:val="Compact"/>
        <w:numPr>
          <w:numId w:val="1002"/>
          <w:ilvl w:val="0"/>
        </w:numPr>
      </w:pPr>
      <m:oMath>
        <m:sSub>
          <m:e>
            <m:r>
              <m:t>C</m:t>
            </m:r>
          </m:e>
          <m:sub>
            <m:r>
              <m:t>t</m:t>
            </m:r>
          </m:sub>
        </m:sSub>
      </m:oMath>
      <w:r>
        <w:t xml:space="preserve"> </w:t>
      </w:r>
      <w:r>
        <w:t xml:space="preserve">= the MTGW soil concentration (mg/kg),</w:t>
      </w:r>
    </w:p>
    <w:p>
      <w:pPr>
        <w:pStyle w:val="Compact"/>
        <w:numPr>
          <w:numId w:val="1002"/>
          <w:ilvl w:val="0"/>
        </w:numPr>
      </w:pPr>
      <m:oMath>
        <m:sSub>
          <m:e>
            <m:r>
              <m:t>C</m:t>
            </m:r>
          </m:e>
          <m:sub>
            <m:r>
              <m:t>w</m:t>
            </m:r>
          </m:sub>
        </m:sSub>
      </m:oMath>
      <w:r>
        <w:t xml:space="preserve"> </w:t>
      </w:r>
      <w:r>
        <w:t xml:space="preserve">= the non-zero MCL, DWEL or ADWEL (mg/L) (assuming a dilution attenuation factor of 1),</w:t>
      </w:r>
    </w:p>
    <w:p>
      <w:pPr>
        <w:pStyle w:val="Compact"/>
        <w:numPr>
          <w:numId w:val="1002"/>
          <w:ilvl w:val="0"/>
        </w:numPr>
      </w:pPr>
      <m:oMath>
        <m:sSub>
          <m:e>
            <m:r>
              <m:t>K</m:t>
            </m:r>
          </m:e>
          <m:sub>
            <m:r>
              <m:t>d</m:t>
            </m:r>
          </m:sub>
        </m:sSub>
      </m:oMath>
      <w:r>
        <w:t xml:space="preserve"> </w:t>
      </w:r>
      <w:r>
        <w:t xml:space="preserve">= the soil-water partitioning coefficient (L/kg),</w:t>
      </w:r>
    </w:p>
    <w:p>
      <w:pPr>
        <w:pStyle w:val="Compact"/>
        <w:numPr>
          <w:numId w:val="1002"/>
          <w:ilvl w:val="0"/>
        </w:numPr>
      </w:pPr>
      <m:oMath>
        <m:sSub>
          <m:e>
            <m:r>
              <m:t>θ</m:t>
            </m:r>
          </m:e>
          <m:sub>
            <m:r>
              <m:t>w</m:t>
            </m:r>
          </m:sub>
        </m:sSub>
      </m:oMath>
      <w:r>
        <w:t xml:space="preserve"> </w:t>
      </w:r>
      <w:r>
        <w:t xml:space="preserve">= the water-filled soil porosity (Lwater/Lsoil),</w:t>
      </w:r>
    </w:p>
    <w:p>
      <w:pPr>
        <w:pStyle w:val="Compact"/>
        <w:numPr>
          <w:numId w:val="1002"/>
          <w:ilvl w:val="0"/>
        </w:numPr>
      </w:pPr>
      <m:oMath>
        <m:sSub>
          <m:e>
            <m:r>
              <m:t>θ</m:t>
            </m:r>
          </m:e>
          <m:sub>
            <m:r>
              <m:t>a</m:t>
            </m:r>
          </m:sub>
        </m:sSub>
      </m:oMath>
      <w:r>
        <w:t xml:space="preserve"> </w:t>
      </w:r>
      <w:r>
        <w:t xml:space="preserve">= the air-filled soil porosity (Lair/Lsoil),</w:t>
      </w:r>
    </w:p>
    <w:p>
      <w:pPr>
        <w:pStyle w:val="Compact"/>
        <w:numPr>
          <w:numId w:val="1002"/>
          <w:ilvl w:val="0"/>
        </w:numPr>
      </w:pPr>
      <m:oMath>
        <m:r>
          <m:t>H</m:t>
        </m:r>
        <m:r>
          <m:t>′</m:t>
        </m:r>
      </m:oMath>
      <w:r>
        <w:t xml:space="preserve"> </w:t>
      </w:r>
      <w:r>
        <w:t xml:space="preserve">= the Henry’s Law constant (dimensionless), and</w:t>
      </w:r>
    </w:p>
    <w:p>
      <w:pPr>
        <w:pStyle w:val="Compact"/>
        <w:numPr>
          <w:numId w:val="1002"/>
          <w:ilvl w:val="0"/>
        </w:numPr>
      </w:pPr>
      <m:oMath>
        <m:sSub>
          <m:e>
            <m:r>
              <m:t>ρ</m:t>
            </m:r>
          </m:e>
          <m:sub>
            <m:r>
              <m:t>b</m:t>
            </m:r>
          </m:sub>
        </m:sSub>
      </m:oMath>
      <w:r>
        <w:t xml:space="preserve"> </w:t>
      </w:r>
      <w:r>
        <w:t xml:space="preserve">= the dry soil bulk density.</w:t>
      </w:r>
    </w:p>
    <w:p>
      <w:pPr>
        <w:pStyle w:val="FirstParagraph"/>
      </w:pPr>
      <w:r>
        <w:t xml:space="preserve">As discussed in USEPA (1996), the reduction in concentration due to attenuation between the source of contaminants in the soil and the point soil leachate reaches groundwater is expressed by a dilution attenuation factor (DAF),</w:t>
      </w:r>
      <w:r>
        <w:t xml:space="preserve"> </w:t>
      </w:r>
      <w:r>
        <w:t xml:space="preserve">defined as the ratio of soil leachate concentration to receptor point concentration.</w:t>
      </w:r>
    </w:p>
    <w:p>
      <w:pPr>
        <w:pStyle w:val="BodyText"/>
      </w:pPr>
      <m:oMathPara>
        <m:oMathParaPr>
          <m:jc m:val="center"/>
        </m:oMathParaPr>
        <m:oMath>
          <m:sSub>
            <m:e>
              <m:r>
                <m:t>C</m:t>
              </m:r>
            </m:e>
            <m:sub>
              <m:r>
                <m:t>w</m:t>
              </m:r>
            </m:sub>
          </m:sSub>
          <m:r>
            <m:t>=</m:t>
          </m:r>
          <m:r>
            <m:t>M</m:t>
          </m:r>
          <m:r>
            <m:t>C</m:t>
          </m:r>
          <m:r>
            <m:t>L</m:t>
          </m:r>
          <m:r>
            <m:t>⋅</m:t>
          </m:r>
          <m:r>
            <m:t>D</m:t>
          </m:r>
          <m:r>
            <m:t>A</m:t>
          </m:r>
          <m:r>
            <m:t>F</m:t>
          </m:r>
        </m:oMath>
      </m:oMathPara>
    </w:p>
    <w:p>
      <w:pPr>
        <w:pStyle w:val="FirstParagraph"/>
      </w:pPr>
      <w:r>
        <w:t xml:space="preserve">Substituing the above equation into equation B, the equation for the MTGW screening level in soil is:</w:t>
      </w:r>
    </w:p>
    <w:p>
      <w:pPr>
        <w:pStyle w:val="BodyText"/>
      </w:pPr>
      <m:oMathPara>
        <m:oMathParaPr>
          <m:jc m:val="center"/>
        </m:oMathParaPr>
        <m:oMath>
          <m:sSub>
            <m:e>
              <m:r>
                <m:t>C</m:t>
              </m:r>
            </m:e>
            <m:sub>
              <m:r>
                <m:t>t</m:t>
              </m:r>
            </m:sub>
          </m:sSub>
          <m:r>
            <m:t>=</m:t>
          </m:r>
          <m:d>
            <m:dPr>
              <m:begChr m:val="("/>
              <m:endChr m:val=")"/>
              <m:grow/>
            </m:dPr>
            <m:e>
              <m:r>
                <m:t>M</m:t>
              </m:r>
              <m:r>
                <m:t>C</m:t>
              </m:r>
              <m:r>
                <m:t>L</m:t>
              </m:r>
              <m:r>
                <m:t>⋅</m:t>
              </m:r>
              <m:r>
                <m:t>D</m:t>
              </m:r>
              <m:r>
                <m:t>A</m:t>
              </m:r>
              <m:r>
                <m:t>F</m:t>
              </m:r>
            </m:e>
          </m:d>
          <m:r>
            <m:t>+</m:t>
          </m:r>
          <m:d>
            <m:dPr>
              <m:begChr m:val="{"/>
              <m:endChr m:val="}"/>
              <m:grow/>
            </m:dPr>
            <m:e>
              <m:d>
                <m:dPr>
                  <m:begChr m:val="("/>
                  <m:endChr m:val=")"/>
                  <m:grow/>
                </m:dPr>
                <m:e>
                  <m:sSub>
                    <m:e>
                      <m:r>
                        <m:t>K</m:t>
                      </m:r>
                    </m:e>
                    <m:sub>
                      <m:r>
                        <m:t>d</m:t>
                      </m:r>
                    </m:sub>
                  </m:sSub>
                </m:e>
              </m:d>
              <m:r>
                <m:t>+</m:t>
              </m:r>
              <m:f>
                <m:fPr>
                  <m:type m:val="bar"/>
                </m:fPr>
                <m:num>
                  <m:sSub>
                    <m:e>
                      <m:r>
                        <m:t>θ</m:t>
                      </m:r>
                    </m:e>
                    <m:sub>
                      <m:r>
                        <m:t>w</m:t>
                      </m:r>
                    </m:sub>
                  </m:sSub>
                  <m:r>
                    <m:t>+</m:t>
                  </m:r>
                  <m:sSub>
                    <m:e>
                      <m:r>
                        <m:t>θ</m:t>
                      </m:r>
                    </m:e>
                    <m:sub>
                      <m:r>
                        <m:t>a</m:t>
                      </m:r>
                    </m:sub>
                  </m:sSub>
                  <m:r>
                    <m:t>H</m:t>
                  </m:r>
                  <m:r>
                    <m:t>′</m:t>
                  </m:r>
                </m:num>
                <m:den>
                  <m:sSub>
                    <m:e>
                      <m:r>
                        <m:t>ρ</m:t>
                      </m:r>
                    </m:e>
                    <m:sub>
                      <m:r>
                        <m:t>b</m:t>
                      </m:r>
                    </m:sub>
                  </m:sSub>
                </m:den>
              </m:f>
            </m:e>
          </m:d>
        </m:oMath>
      </m:oMathPara>
    </w:p>
    <w:p>
      <w:pPr>
        <w:pStyle w:val="Heading2"/>
      </w:pPr>
      <w:bookmarkStart w:id="20" w:name="X8283ab3fe3896a5d18c24f1f49c06001b91adc2"/>
      <w:r>
        <w:t xml:space="preserve">Migration to Groundwater Calculations for the WSC Torrington Site</w:t>
      </w:r>
      <w:bookmarkEnd w:id="20"/>
    </w:p>
    <w:p>
      <w:pPr>
        <w:pStyle w:val="FirstParagraph"/>
      </w:pPr>
      <w:r>
        <w:t xml:space="preserve">The regional hydrogeologic parameters estimated by Tetra Tech (2018), and site specifc values for hydraulic gradient and length of source, were used to calculate a site-specific DAF. This DAF was used with the default parameters for Equation B in WDEQ (2018b) to calculate site-specific MTGW screening levels for nitrate as N and ammonia as N for the WSC Torrington Facility.</w:t>
      </w:r>
    </w:p>
    <w:p>
      <w:pPr>
        <w:pStyle w:val="Heading3"/>
      </w:pPr>
      <w:bookmarkStart w:id="21" w:name="mixing-zone-depth"/>
      <w:r>
        <w:t xml:space="preserve">Mixing Zone Depth</w:t>
      </w:r>
      <w:bookmarkEnd w:id="21"/>
    </w:p>
    <w:p>
      <w:pPr>
        <w:pStyle w:val="FirstParagraph"/>
      </w:pPr>
      <w:r>
        <w:t xml:space="preserve">Mixing zone depth is calculated using the following equation (USEPA 1996b, Equation 45):</w:t>
      </w:r>
    </w:p>
    <w:p>
      <w:pPr>
        <w:pStyle w:val="BodyText"/>
      </w:pPr>
      <m:oMathPara>
        <m:oMathParaPr>
          <m:jc m:val="center"/>
        </m:oMathParaPr>
        <m:oMath>
          <m:r>
            <m:t>d</m:t>
          </m:r>
          <m:r>
            <m:t>=</m:t>
          </m:r>
          <m:sSup>
            <m:e>
              <m:d>
                <m:dPr>
                  <m:begChr m:val="("/>
                  <m:endChr m:val=")"/>
                  <m:grow/>
                </m:dPr>
                <m:e>
                  <m:r>
                    <m:t>0.0112</m:t>
                  </m:r>
                  <m:sSup>
                    <m:e>
                      <m:r>
                        <m:t>L</m:t>
                      </m:r>
                    </m:e>
                    <m:sup>
                      <m:r>
                        <m:t>2</m:t>
                      </m:r>
                    </m:sup>
                  </m:sSup>
                </m:e>
              </m:d>
            </m:e>
            <m:sup>
              <m:r>
                <m:t>0.5</m:t>
              </m:r>
            </m:sup>
          </m:sSup>
          <m:r>
            <m:t>+</m:t>
          </m:r>
          <m:sSub>
            <m:e>
              <m:r>
                <m:t>d</m:t>
              </m:r>
            </m:e>
            <m:sub>
              <m:r>
                <m:t>a</m:t>
              </m:r>
            </m:sub>
          </m:sSub>
          <m:r>
            <m:t>{</m:t>
          </m:r>
          <m:r>
            <m:t>1</m:t>
          </m:r>
          <m:r>
            <m:t>−</m:t>
          </m:r>
          <m:sSup>
            <m:e>
              <m:r>
                <m:t>e</m:t>
              </m:r>
            </m:e>
            <m:sup>
              <m:r>
                <m:t>−</m:t>
              </m:r>
              <m:r>
                <m:t>L</m:t>
              </m:r>
              <m:r>
                <m:t>I</m:t>
              </m:r>
              <m:r>
                <m:t>/</m:t>
              </m:r>
              <m:r>
                <m:t>K</m:t>
              </m:r>
              <m:r>
                <m:t>i</m:t>
              </m:r>
              <m:sSub>
                <m:e>
                  <m:r>
                    <m:t>d</m:t>
                  </m:r>
                </m:e>
                <m:sub>
                  <m:r>
                    <m:t>a</m:t>
                  </m:r>
                </m:sub>
              </m:sSub>
            </m:sup>
          </m:sSup>
          <m:r>
            <m:t>}</m:t>
          </m:r>
        </m:oMath>
      </m:oMathPara>
    </w:p>
    <w:p>
      <w:pPr>
        <w:pStyle w:val="FirstParagraph"/>
      </w:pPr>
      <w:r>
        <w:t xml:space="preserve">where:</w:t>
      </w:r>
    </w:p>
    <w:p>
      <w:pPr>
        <w:pStyle w:val="Compact"/>
        <w:numPr>
          <w:numId w:val="1003"/>
          <w:ilvl w:val="0"/>
        </w:numPr>
      </w:pPr>
      <w:r>
        <w:t xml:space="preserve">d = the mixing zone depth (meters),</w:t>
      </w:r>
    </w:p>
    <w:p>
      <w:pPr>
        <w:pStyle w:val="Compact"/>
        <w:numPr>
          <w:numId w:val="1003"/>
          <w:ilvl w:val="0"/>
        </w:numPr>
      </w:pPr>
      <w:r>
        <w:t xml:space="preserve">L = the source length parallel to groundwater flow (meters),</w:t>
      </w:r>
    </w:p>
    <w:p>
      <w:pPr>
        <w:pStyle w:val="Compact"/>
        <w:numPr>
          <w:numId w:val="1003"/>
          <w:ilvl w:val="0"/>
        </w:numPr>
      </w:pPr>
      <m:oMath>
        <m:sSub>
          <m:e>
            <m:r>
              <m:t>d</m:t>
            </m:r>
          </m:e>
          <m:sub>
            <m:r>
              <m:t>a</m:t>
            </m:r>
          </m:sub>
        </m:sSub>
      </m:oMath>
      <w:r>
        <w:t xml:space="preserve"> </w:t>
      </w:r>
      <w:r>
        <w:t xml:space="preserve">= the aquifer thickness (meters),</w:t>
      </w:r>
    </w:p>
    <w:p>
      <w:pPr>
        <w:pStyle w:val="Compact"/>
        <w:numPr>
          <w:numId w:val="1003"/>
          <w:ilvl w:val="0"/>
        </w:numPr>
      </w:pPr>
      <w:r>
        <w:t xml:space="preserve">I = the infiltration (recharge) rate (meters per year),</w:t>
      </w:r>
    </w:p>
    <w:p>
      <w:pPr>
        <w:pStyle w:val="Compact"/>
        <w:numPr>
          <w:numId w:val="1003"/>
          <w:ilvl w:val="0"/>
        </w:numPr>
      </w:pPr>
      <w:r>
        <w:t xml:space="preserve">K = the aquifer hydraulic conductivity (meters per year), and</w:t>
      </w:r>
    </w:p>
    <w:p>
      <w:pPr>
        <w:pStyle w:val="Compact"/>
        <w:numPr>
          <w:numId w:val="1003"/>
          <w:ilvl w:val="0"/>
        </w:numPr>
      </w:pPr>
      <w:r>
        <w:t xml:space="preserve">i = the hydraulic gradient (meters per meter).</w:t>
      </w:r>
    </w:p>
    <w:p>
      <w:pPr>
        <w:pStyle w:val="FirstParagraph"/>
      </w:pPr>
      <w:r>
        <w:t xml:space="preserve">Using this equation and the following input parameters:</w:t>
      </w:r>
    </w:p>
    <w:p>
      <w:pPr>
        <w:pStyle w:val="Compact"/>
        <w:numPr>
          <w:numId w:val="1004"/>
          <w:ilvl w:val="0"/>
        </w:numPr>
      </w:pPr>
      <m:oMath>
        <m:sSub>
          <m:e>
            <m:r>
              <m:t>d</m:t>
            </m:r>
          </m:e>
          <m:sub>
            <m:r>
              <m:t>a</m:t>
            </m:r>
          </m:sub>
        </m:sSub>
      </m:oMath>
      <w:r>
        <w:t xml:space="preserve"> </w:t>
      </w:r>
      <w:r>
        <w:t xml:space="preserve">= 42.7 meters, which is the value used by Tetra Tech (2018) for the adjacent Simplot facility,</w:t>
      </w:r>
    </w:p>
    <w:p>
      <w:pPr>
        <w:pStyle w:val="Compact"/>
        <w:numPr>
          <w:numId w:val="1004"/>
          <w:ilvl w:val="0"/>
        </w:numPr>
      </w:pPr>
      <w:r>
        <w:t xml:space="preserve">I = 0.01057 meters/year, which is the value used by Tetra Tech (2018) for the adjacent Simplot facility,</w:t>
      </w:r>
    </w:p>
    <w:p>
      <w:pPr>
        <w:pStyle w:val="Compact"/>
        <w:numPr>
          <w:numId w:val="1004"/>
          <w:ilvl w:val="0"/>
        </w:numPr>
      </w:pPr>
      <w:r>
        <w:t xml:space="preserve">K = 6812 meters/year, which is the value used by Tetra Tech (2018) for the adjacent Simplot facility,</w:t>
      </w:r>
    </w:p>
    <w:p>
      <w:pPr>
        <w:pStyle w:val="Compact"/>
        <w:numPr>
          <w:numId w:val="1004"/>
          <w:ilvl w:val="0"/>
        </w:numPr>
      </w:pPr>
      <w:r>
        <w:t xml:space="preserve">i = 0.0018 meters per meter, which is a site-specific value based fluid level gauging data the WSC Torrington facility.</w:t>
      </w:r>
    </w:p>
    <w:p>
      <w:pPr>
        <w:pStyle w:val="Compact"/>
        <w:numPr>
          <w:numId w:val="1004"/>
          <w:ilvl w:val="0"/>
        </w:numPr>
      </w:pPr>
      <w:r>
        <w:t xml:space="preserve">L = 866 meters, which is based on the geometry of the ponds at the WSC Torrington facility.</w:t>
      </w:r>
    </w:p>
    <w:p>
      <w:pPr>
        <w:pStyle w:val="FirstParagraph"/>
      </w:pPr>
      <w:r>
        <w:t xml:space="preserve">d, the mixing zone depth, is equal to 92.4 meters, based on the equation. However, USEPA (1996b) notes that the aquifer thickness serves as a limit for mixing zone depth, so in the event that</w:t>
      </w:r>
      <w:r>
        <w:t xml:space="preserve"> </w:t>
      </w:r>
      <m:oMath>
        <m:r>
          <m:t>d</m:t>
        </m:r>
        <m:r>
          <m:t>&gt;</m:t>
        </m:r>
        <m:sSub>
          <m:e>
            <m:r>
              <m:t>d</m:t>
            </m:r>
          </m:e>
          <m:sub>
            <m:r>
              <m:t>a</m:t>
            </m:r>
          </m:sub>
        </m:sSub>
      </m:oMath>
      <w:r>
        <w:t xml:space="preserve">, as here, the value of</w:t>
      </w:r>
      <w:r>
        <w:t xml:space="preserve"> </w:t>
      </w:r>
      <m:oMath>
        <m:sSub>
          <m:e>
            <m:r>
              <m:t>d</m:t>
            </m:r>
          </m:e>
          <m:sub>
            <m:r>
              <m:t>a</m:t>
            </m:r>
          </m:sub>
        </m:sSub>
      </m:oMath>
      <w:r>
        <w:t xml:space="preserve"> </w:t>
      </w:r>
      <w:r>
        <w:t xml:space="preserve">should be used as the mixing zone depth.</w:t>
      </w:r>
    </w:p>
    <w:p>
      <w:pPr>
        <w:pStyle w:val="Heading3"/>
      </w:pPr>
      <w:bookmarkStart w:id="22" w:name="dilution-attenuation-factor"/>
      <w:r>
        <w:t xml:space="preserve">Dilution-Attenuation Factor</w:t>
      </w:r>
      <w:bookmarkEnd w:id="22"/>
    </w:p>
    <w:p>
      <w:pPr>
        <w:pStyle w:val="FirstParagraph"/>
      </w:pPr>
      <w:r>
        <w:t xml:space="preserve">The DAF equation is:</w:t>
      </w:r>
    </w:p>
    <w:p>
      <w:pPr>
        <w:pStyle w:val="BodyText"/>
      </w:pPr>
      <m:oMathPara>
        <m:oMathParaPr>
          <m:jc m:val="center"/>
        </m:oMathParaPr>
        <m:oMath>
          <m:r>
            <m:t>D</m:t>
          </m:r>
          <m:r>
            <m:t>A</m:t>
          </m:r>
          <m:r>
            <m:t>F</m:t>
          </m:r>
          <m:r>
            <m:t>=</m:t>
          </m:r>
          <m:r>
            <m:t>1</m:t>
          </m:r>
          <m:r>
            <m:t>+</m:t>
          </m:r>
          <m:d>
            <m:dPr>
              <m:begChr m:val="("/>
              <m:endChr m:val=")"/>
              <m:grow/>
            </m:dPr>
            <m:e>
              <m:f>
                <m:fPr>
                  <m:type m:val="bar"/>
                </m:fPr>
                <m:num>
                  <m:r>
                    <m:t>K</m:t>
                  </m:r>
                  <m:r>
                    <m:t>i</m:t>
                  </m:r>
                  <m:r>
                    <m:t>d</m:t>
                  </m:r>
                </m:num>
                <m:den>
                  <m:r>
                    <m:t>I</m:t>
                  </m:r>
                  <m:r>
                    <m:t>L</m:t>
                  </m:r>
                </m:den>
              </m:f>
            </m:e>
          </m:d>
        </m:oMath>
      </m:oMathPara>
    </w:p>
    <w:p>
      <w:pPr>
        <w:pStyle w:val="FirstParagraph"/>
      </w:pPr>
      <w:r>
        <w:t xml:space="preserve">where</w:t>
      </w:r>
    </w:p>
    <w:p>
      <w:pPr>
        <w:pStyle w:val="Compact"/>
        <w:numPr>
          <w:numId w:val="1005"/>
          <w:ilvl w:val="0"/>
        </w:numPr>
      </w:pPr>
      <m:oMath>
        <m:r>
          <m:t>D</m:t>
        </m:r>
        <m:r>
          <m:t>A</m:t>
        </m:r>
        <m:r>
          <m:t>F</m:t>
        </m:r>
      </m:oMath>
      <w:r>
        <w:t xml:space="preserve"> </w:t>
      </w:r>
      <w:r>
        <w:t xml:space="preserve">= dilution attenuation factor, unitless</w:t>
      </w:r>
    </w:p>
    <w:p>
      <w:pPr>
        <w:pStyle w:val="Compact"/>
        <w:numPr>
          <w:numId w:val="1005"/>
          <w:ilvl w:val="0"/>
        </w:numPr>
      </w:pPr>
      <m:oMath>
        <m:r>
          <m:t>K</m:t>
        </m:r>
      </m:oMath>
      <w:r>
        <w:t xml:space="preserve"> </w:t>
      </w:r>
      <w:r>
        <w:t xml:space="preserve">= hydraulic conductivity (</w:t>
      </w:r>
      <m:oMath>
        <m:r>
          <m:t>m</m:t>
        </m:r>
        <m:r>
          <m:t>/</m:t>
        </m:r>
        <m:r>
          <m:t>y</m:t>
        </m:r>
        <m:r>
          <m:t>r</m:t>
        </m:r>
      </m:oMath>
      <w:r>
        <w:t xml:space="preserve">)</w:t>
      </w:r>
    </w:p>
    <w:p>
      <w:pPr>
        <w:pStyle w:val="Compact"/>
        <w:numPr>
          <w:numId w:val="1005"/>
          <w:ilvl w:val="0"/>
        </w:numPr>
      </w:pPr>
      <m:oMath>
        <m:r>
          <m:t>i</m:t>
        </m:r>
      </m:oMath>
      <w:r>
        <w:t xml:space="preserve"> </w:t>
      </w:r>
      <w:r>
        <w:t xml:space="preserve">= hydraulic gradient (</w:t>
      </w:r>
      <m:oMath>
        <m:r>
          <m:t>m</m:t>
        </m:r>
        <m:r>
          <m:t>/</m:t>
        </m:r>
        <m:r>
          <m:t>m</m:t>
        </m:r>
      </m:oMath>
      <w:r>
        <w:t xml:space="preserve">)</w:t>
      </w:r>
    </w:p>
    <w:p>
      <w:pPr>
        <w:pStyle w:val="Compact"/>
        <w:numPr>
          <w:numId w:val="1005"/>
          <w:ilvl w:val="0"/>
        </w:numPr>
      </w:pPr>
      <m:oMath>
        <m:r>
          <m:t>d</m:t>
        </m:r>
      </m:oMath>
      <w:r>
        <w:t xml:space="preserve"> </w:t>
      </w:r>
      <w:r>
        <w:t xml:space="preserve">= aquifer mixing depth (</w:t>
      </w:r>
      <m:oMath>
        <m:r>
          <m:t>m</m:t>
        </m:r>
      </m:oMath>
      <w:r>
        <w:t xml:space="preserve">)</w:t>
      </w:r>
    </w:p>
    <w:p>
      <w:pPr>
        <w:pStyle w:val="Compact"/>
        <w:numPr>
          <w:numId w:val="1005"/>
          <w:ilvl w:val="0"/>
        </w:numPr>
      </w:pPr>
      <m:oMath>
        <m:r>
          <m:t>I</m:t>
        </m:r>
      </m:oMath>
      <w:r>
        <w:t xml:space="preserve"> </w:t>
      </w:r>
      <w:r>
        <w:t xml:space="preserve">= infiltration (recharge) rate (</w:t>
      </w:r>
      <m:oMath>
        <m:r>
          <m:t>m</m:t>
        </m:r>
        <m:r>
          <m:t>/</m:t>
        </m:r>
        <m:r>
          <m:t>y</m:t>
        </m:r>
        <m:r>
          <m:t>r</m:t>
        </m:r>
      </m:oMath>
      <w:r>
        <w:t xml:space="preserve">)</w:t>
      </w:r>
    </w:p>
    <w:p>
      <w:pPr>
        <w:pStyle w:val="Compact"/>
        <w:numPr>
          <w:numId w:val="1005"/>
          <w:ilvl w:val="0"/>
        </w:numPr>
      </w:pPr>
      <m:oMath>
        <m:r>
          <m:t>L</m:t>
        </m:r>
      </m:oMath>
      <w:r>
        <w:t xml:space="preserve"> </w:t>
      </w:r>
      <w:r>
        <w:t xml:space="preserve">= Length of source parallel to flow (</w:t>
      </w:r>
      <m:oMath>
        <m:r>
          <m:t>m</m:t>
        </m:r>
      </m:oMath>
      <w:r>
        <w:t xml:space="preserve">)</w:t>
      </w:r>
    </w:p>
    <w:p>
      <w:pPr>
        <w:pStyle w:val="FirstParagraph"/>
      </w:pPr>
      <w:r>
        <w:t xml:space="preserve">Using this equation and the following input parameters:</w:t>
      </w:r>
    </w:p>
    <w:p>
      <w:pPr>
        <w:pStyle w:val="Compact"/>
        <w:numPr>
          <w:numId w:val="1006"/>
          <w:ilvl w:val="0"/>
        </w:numPr>
      </w:pPr>
      <w:r>
        <w:t xml:space="preserve">d = 42.7 meters, which is the aquifer thickness, because the estimated mixing zone depth is greater than the aquifer thickness,</w:t>
      </w:r>
    </w:p>
    <w:p>
      <w:pPr>
        <w:pStyle w:val="Compact"/>
        <w:numPr>
          <w:numId w:val="1006"/>
          <w:ilvl w:val="0"/>
        </w:numPr>
      </w:pPr>
      <w:r>
        <w:t xml:space="preserve">I = 0.01057 meters/year, which is the value used by Tetra Tech (2018) for the adjacent Simplot facility,</w:t>
      </w:r>
    </w:p>
    <w:p>
      <w:pPr>
        <w:pStyle w:val="Compact"/>
        <w:numPr>
          <w:numId w:val="1006"/>
          <w:ilvl w:val="0"/>
        </w:numPr>
      </w:pPr>
      <w:r>
        <w:t xml:space="preserve">K = 6812 meters/year, which is the value used by Tetra Tech (2018) for the adjacent Simplot facility,</w:t>
      </w:r>
    </w:p>
    <w:p>
      <w:pPr>
        <w:pStyle w:val="Compact"/>
        <w:numPr>
          <w:numId w:val="1006"/>
          <w:ilvl w:val="0"/>
        </w:numPr>
      </w:pPr>
      <w:r>
        <w:t xml:space="preserve">i = 0.0018 meters per meters, which is a site-specific value based fluid level gauging data the WSC Torrington facility (Trihydro, 2018)</w:t>
      </w:r>
    </w:p>
    <w:p>
      <w:pPr>
        <w:pStyle w:val="Compact"/>
        <w:numPr>
          <w:numId w:val="1006"/>
          <w:ilvl w:val="0"/>
        </w:numPr>
      </w:pPr>
      <w:r>
        <w:t xml:space="preserve">L = 866 meters, which is based on the geometry of the WSC Torrington facility and observed nitrate and ammonia concentrations (Trihydro, 2018)</w:t>
      </w:r>
    </w:p>
    <w:p>
      <w:pPr>
        <w:pStyle w:val="FirstParagraph"/>
      </w:pPr>
      <w:r>
        <w:t xml:space="preserve">The DAF is equal to 58.2. This is less than the DAF calculated for the nearby Simplot facility (159) by Tetra Tech (2018). Using this DAF leads to comparaitively lower (i.e., more conservative) MTGW screening levels, relative to the Simplot facility, if all other inputs were equal.</w:t>
      </w:r>
    </w:p>
    <w:p>
      <w:pPr>
        <w:pStyle w:val="Heading3"/>
      </w:pPr>
      <w:bookmarkStart w:id="23" w:name="nitrate-screening-level"/>
      <w:r>
        <w:t xml:space="preserve">Nitrate Screening Level</w:t>
      </w:r>
      <w:bookmarkEnd w:id="23"/>
    </w:p>
    <w:p>
      <w:pPr>
        <w:pStyle w:val="FirstParagraph"/>
      </w:pPr>
      <w:r>
        <w:t xml:space="preserve">The equation for the MTGW screening level in soil is:</w:t>
      </w:r>
    </w:p>
    <w:p>
      <w:pPr>
        <w:pStyle w:val="BodyText"/>
      </w:pPr>
      <m:oMathPara>
        <m:oMathParaPr>
          <m:jc m:val="center"/>
        </m:oMathParaPr>
        <m:oMath>
          <m:sSub>
            <m:e>
              <m:r>
                <m:t>C</m:t>
              </m:r>
            </m:e>
            <m:sub>
              <m:r>
                <m:t>t</m:t>
              </m:r>
            </m:sub>
          </m:sSub>
          <m:r>
            <m:t>=</m:t>
          </m:r>
          <m:d>
            <m:dPr>
              <m:begChr m:val="("/>
              <m:endChr m:val=")"/>
              <m:grow/>
            </m:dPr>
            <m:e>
              <m:r>
                <m:t>M</m:t>
              </m:r>
              <m:r>
                <m:t>C</m:t>
              </m:r>
              <m:r>
                <m:t>L</m:t>
              </m:r>
              <m:r>
                <m:t>⋅</m:t>
              </m:r>
              <m:r>
                <m:t>D</m:t>
              </m:r>
              <m:r>
                <m:t>A</m:t>
              </m:r>
              <m:r>
                <m:t>F</m:t>
              </m:r>
            </m:e>
          </m:d>
          <m:r>
            <m:t>+</m:t>
          </m:r>
          <m:d>
            <m:dPr>
              <m:begChr m:val="{"/>
              <m:endChr m:val="}"/>
              <m:grow/>
            </m:dPr>
            <m:e>
              <m:d>
                <m:dPr>
                  <m:begChr m:val="("/>
                  <m:endChr m:val=")"/>
                  <m:grow/>
                </m:dPr>
                <m:e>
                  <m:sSub>
                    <m:e>
                      <m:r>
                        <m:t>K</m:t>
                      </m:r>
                    </m:e>
                    <m:sub>
                      <m:r>
                        <m:t>d</m:t>
                      </m:r>
                    </m:sub>
                  </m:sSub>
                </m:e>
              </m:d>
              <m:r>
                <m:t>+</m:t>
              </m:r>
              <m:f>
                <m:fPr>
                  <m:type m:val="bar"/>
                </m:fPr>
                <m:num>
                  <m:sSub>
                    <m:e>
                      <m:r>
                        <m:t>θ</m:t>
                      </m:r>
                    </m:e>
                    <m:sub>
                      <m:r>
                        <m:t>w</m:t>
                      </m:r>
                    </m:sub>
                  </m:sSub>
                  <m:r>
                    <m:t>+</m:t>
                  </m:r>
                  <m:sSub>
                    <m:e>
                      <m:r>
                        <m:t>θ</m:t>
                      </m:r>
                    </m:e>
                    <m:sub>
                      <m:r>
                        <m:t>a</m:t>
                      </m:r>
                    </m:sub>
                  </m:sSub>
                  <m:r>
                    <m:t>H</m:t>
                  </m:r>
                  <m:r>
                    <m:t>′</m:t>
                  </m:r>
                </m:num>
                <m:den>
                  <m:sSub>
                    <m:e>
                      <m:r>
                        <m:t>ρ</m:t>
                      </m:r>
                    </m:e>
                    <m:sub>
                      <m:r>
                        <m:t>b</m:t>
                      </m:r>
                    </m:sub>
                  </m:sSub>
                </m:den>
              </m:f>
            </m:e>
          </m:d>
        </m:oMath>
      </m:oMathPara>
    </w:p>
    <w:p>
      <w:pPr>
        <w:pStyle w:val="FirstParagraph"/>
      </w:pPr>
      <w:r>
        <w:t xml:space="preserve">where,</w:t>
      </w:r>
    </w:p>
    <w:p>
      <w:pPr>
        <w:pStyle w:val="Compact"/>
        <w:numPr>
          <w:numId w:val="1007"/>
          <w:ilvl w:val="0"/>
        </w:numPr>
      </w:pPr>
      <m:oMath>
        <m:sSub>
          <m:e>
            <m:r>
              <m:t>C</m:t>
            </m:r>
          </m:e>
          <m:sub>
            <m:r>
              <m:t>t</m:t>
            </m:r>
          </m:sub>
        </m:sSub>
      </m:oMath>
      <w:r>
        <w:t xml:space="preserve"> </w:t>
      </w:r>
      <w:r>
        <w:t xml:space="preserve">= the MTGW soil concentration (mg/kg),</w:t>
      </w:r>
    </w:p>
    <w:p>
      <w:pPr>
        <w:pStyle w:val="Compact"/>
        <w:numPr>
          <w:numId w:val="1007"/>
          <w:ilvl w:val="0"/>
        </w:numPr>
      </w:pPr>
      <m:oMath>
        <m:r>
          <m:t>M</m:t>
        </m:r>
        <m:r>
          <m:t>C</m:t>
        </m:r>
        <m:r>
          <m:t>L</m:t>
        </m:r>
      </m:oMath>
      <w:r>
        <w:t xml:space="preserve"> </w:t>
      </w:r>
      <w:r>
        <w:t xml:space="preserve">= the non-zero MCL, DWEL or ADWEL (mg/L),</w:t>
      </w:r>
    </w:p>
    <w:p>
      <w:pPr>
        <w:pStyle w:val="Compact"/>
        <w:numPr>
          <w:numId w:val="1007"/>
          <w:ilvl w:val="0"/>
        </w:numPr>
      </w:pPr>
      <m:oMath>
        <m:r>
          <m:t>D</m:t>
        </m:r>
        <m:r>
          <m:t>A</m:t>
        </m:r>
        <m:r>
          <m:t>F</m:t>
        </m:r>
      </m:oMath>
      <w:r>
        <w:t xml:space="preserve"> </w:t>
      </w:r>
      <w:r>
        <w:t xml:space="preserve">= dilution attenuation factor, unitless</w:t>
      </w:r>
    </w:p>
    <w:p>
      <w:pPr>
        <w:pStyle w:val="Compact"/>
        <w:numPr>
          <w:numId w:val="1007"/>
          <w:ilvl w:val="0"/>
        </w:numPr>
      </w:pPr>
      <m:oMath>
        <m:sSub>
          <m:e>
            <m:r>
              <m:t>K</m:t>
            </m:r>
          </m:e>
          <m:sub>
            <m:r>
              <m:t>d</m:t>
            </m:r>
          </m:sub>
        </m:sSub>
      </m:oMath>
      <w:r>
        <w:t xml:space="preserve"> </w:t>
      </w:r>
      <w:r>
        <w:t xml:space="preserve">= the soil-water partitioning coefficient (L/kg),</w:t>
      </w:r>
    </w:p>
    <w:p>
      <w:pPr>
        <w:pStyle w:val="Compact"/>
        <w:numPr>
          <w:numId w:val="1007"/>
          <w:ilvl w:val="0"/>
        </w:numPr>
      </w:pPr>
      <m:oMath>
        <m:sSub>
          <m:e>
            <m:r>
              <m:t>θ</m:t>
            </m:r>
          </m:e>
          <m:sub>
            <m:r>
              <m:t>w</m:t>
            </m:r>
          </m:sub>
        </m:sSub>
      </m:oMath>
      <w:r>
        <w:t xml:space="preserve"> </w:t>
      </w:r>
      <w:r>
        <w:t xml:space="preserve">= the water-filled soil porosity (Lwater/Lsoil),</w:t>
      </w:r>
      <w:r>
        <w:br/>
      </w:r>
    </w:p>
    <w:p>
      <w:pPr>
        <w:pStyle w:val="Compact"/>
        <w:numPr>
          <w:numId w:val="1007"/>
          <w:ilvl w:val="0"/>
        </w:numPr>
      </w:pPr>
      <m:oMath>
        <m:sSub>
          <m:e>
            <m:r>
              <m:t>θ</m:t>
            </m:r>
          </m:e>
          <m:sub>
            <m:r>
              <m:t>a</m:t>
            </m:r>
          </m:sub>
        </m:sSub>
      </m:oMath>
      <w:r>
        <w:t xml:space="preserve"> </w:t>
      </w:r>
      <w:r>
        <w:t xml:space="preserve">= the air-filled soil porosity (Lair/Lsoil),</w:t>
      </w:r>
    </w:p>
    <w:p>
      <w:pPr>
        <w:pStyle w:val="Compact"/>
        <w:numPr>
          <w:numId w:val="1007"/>
          <w:ilvl w:val="0"/>
        </w:numPr>
      </w:pPr>
      <m:oMath>
        <m:r>
          <m:t>H</m:t>
        </m:r>
        <m:r>
          <m:t>′</m:t>
        </m:r>
      </m:oMath>
      <w:r>
        <w:t xml:space="preserve"> </w:t>
      </w:r>
      <w:r>
        <w:t xml:space="preserve">= the Henry’s Law constant (dimensionless), and</w:t>
      </w:r>
    </w:p>
    <w:p>
      <w:pPr>
        <w:pStyle w:val="Compact"/>
        <w:numPr>
          <w:numId w:val="1007"/>
          <w:ilvl w:val="0"/>
        </w:numPr>
      </w:pPr>
      <m:oMath>
        <m:sSub>
          <m:e>
            <m:r>
              <m:t>ρ</m:t>
            </m:r>
          </m:e>
          <m:sub>
            <m:r>
              <m:t>b</m:t>
            </m:r>
          </m:sub>
        </m:sSub>
      </m:oMath>
      <w:r>
        <w:t xml:space="preserve"> </w:t>
      </w:r>
      <w:r>
        <w:t xml:space="preserve">= the dry soil bulk density.</w:t>
      </w:r>
    </w:p>
    <w:p>
      <w:pPr>
        <w:pStyle w:val="FirstParagraph"/>
      </w:pPr>
      <w:r>
        <w:t xml:space="preserve">Using this equation and the following input parameters:</w:t>
      </w:r>
    </w:p>
    <w:p>
      <w:pPr>
        <w:pStyle w:val="Compact"/>
        <w:numPr>
          <w:numId w:val="1008"/>
          <w:ilvl w:val="0"/>
        </w:numPr>
      </w:pPr>
      <m:oMath>
        <m:r>
          <m:t>M</m:t>
        </m:r>
        <m:r>
          <m:t>C</m:t>
        </m:r>
        <m:r>
          <m:t>L</m:t>
        </m:r>
      </m:oMath>
      <w:r>
        <w:t xml:space="preserve"> </w:t>
      </w:r>
      <w:r>
        <w:t xml:space="preserve">= 10 (mg/L), for nitrate as N</w:t>
      </w:r>
    </w:p>
    <w:p>
      <w:pPr>
        <w:pStyle w:val="Compact"/>
        <w:numPr>
          <w:numId w:val="1008"/>
          <w:ilvl w:val="0"/>
        </w:numPr>
      </w:pPr>
      <m:oMath>
        <m:sSub>
          <m:e>
            <m:r>
              <m:t>K</m:t>
            </m:r>
          </m:e>
          <m:sub>
            <m:r>
              <m:t>d</m:t>
            </m:r>
          </m:sub>
        </m:sSub>
      </m:oMath>
      <w:r>
        <w:t xml:space="preserve"> </w:t>
      </w:r>
      <w:r>
        <w:t xml:space="preserve">= 0, which is a conservative assumption</w:t>
      </w:r>
    </w:p>
    <w:p>
      <w:pPr>
        <w:pStyle w:val="Compact"/>
        <w:numPr>
          <w:numId w:val="1008"/>
          <w:ilvl w:val="0"/>
        </w:numPr>
      </w:pPr>
      <m:oMath>
        <m:sSub>
          <m:e>
            <m:r>
              <m:t>θ</m:t>
            </m:r>
          </m:e>
          <m:sub>
            <m:r>
              <m:t>w</m:t>
            </m:r>
          </m:sub>
        </m:sSub>
      </m:oMath>
      <w:r>
        <w:t xml:space="preserve"> </w:t>
      </w:r>
      <w:r>
        <w:t xml:space="preserve">= 0.3 which is the WDEQ Fact Sheet #25 default value</w:t>
      </w:r>
    </w:p>
    <w:p>
      <w:pPr>
        <w:pStyle w:val="Compact"/>
        <w:numPr>
          <w:numId w:val="1008"/>
          <w:ilvl w:val="0"/>
        </w:numPr>
      </w:pPr>
      <m:oMath>
        <m:sSub>
          <m:e>
            <m:r>
              <m:t>θ</m:t>
            </m:r>
          </m:e>
          <m:sub>
            <m:r>
              <m:t>a</m:t>
            </m:r>
          </m:sub>
        </m:sSub>
      </m:oMath>
      <w:r>
        <w:t xml:space="preserve"> </w:t>
      </w:r>
      <w:r>
        <w:t xml:space="preserve">= 0.13 which is the WDEQ Fact Sheet #25 default value</w:t>
      </w:r>
    </w:p>
    <w:p>
      <w:pPr>
        <w:pStyle w:val="Compact"/>
        <w:numPr>
          <w:numId w:val="1008"/>
          <w:ilvl w:val="0"/>
        </w:numPr>
      </w:pPr>
      <m:oMath>
        <m:r>
          <m:t>H</m:t>
        </m:r>
        <m:r>
          <m:t>′</m:t>
        </m:r>
      </m:oMath>
      <w:r>
        <w:t xml:space="preserve"> </w:t>
      </w:r>
      <w:r>
        <w:t xml:space="preserve">= 0, which is the default value for inorganic contaminants</w:t>
      </w:r>
    </w:p>
    <w:p>
      <w:pPr>
        <w:pStyle w:val="Compact"/>
        <w:numPr>
          <w:numId w:val="1008"/>
          <w:ilvl w:val="0"/>
        </w:numPr>
      </w:pPr>
      <m:oMath>
        <m:sSub>
          <m:e>
            <m:r>
              <m:t>ρ</m:t>
            </m:r>
          </m:e>
          <m:sub>
            <m:r>
              <m:t>b</m:t>
            </m:r>
          </m:sub>
        </m:sSub>
      </m:oMath>
      <w:r>
        <w:t xml:space="preserve"> </w:t>
      </w:r>
      <w:r>
        <w:t xml:space="preserve">= 1.5 which is the WDEQ Fact Sheet #25 default value</w:t>
      </w:r>
    </w:p>
    <w:p>
      <w:pPr>
        <w:pStyle w:val="FirstParagraph"/>
      </w:pPr>
      <m:oMath>
        <m:sSub>
          <m:e>
            <m:r>
              <m:t>C</m:t>
            </m:r>
          </m:e>
          <m:sub>
            <m:r>
              <m:t>t</m:t>
            </m:r>
          </m:sub>
        </m:sSub>
      </m:oMath>
      <w:r>
        <w:t xml:space="preserve"> </w:t>
      </w:r>
      <w:r>
        <w:t xml:space="preserve">is equal to 116.4 mg/kg.</w:t>
      </w:r>
    </w:p>
    <w:p>
      <w:pPr>
        <w:pStyle w:val="Heading3"/>
      </w:pPr>
      <w:bookmarkStart w:id="24" w:name="ammonia-screening-level"/>
      <w:r>
        <w:t xml:space="preserve">Ammonia Screening Level</w:t>
      </w:r>
      <w:bookmarkEnd w:id="24"/>
    </w:p>
    <w:p>
      <w:pPr>
        <w:pStyle w:val="FirstParagraph"/>
      </w:pPr>
      <w:r>
        <w:t xml:space="preserve">The equation for the MTGW screening level in soil is:</w:t>
      </w:r>
    </w:p>
    <w:p>
      <w:pPr>
        <w:pStyle w:val="BodyText"/>
      </w:pPr>
      <m:oMathPara>
        <m:oMathParaPr>
          <m:jc m:val="center"/>
        </m:oMathParaPr>
        <m:oMath>
          <m:sSub>
            <m:e>
              <m:r>
                <m:t>C</m:t>
              </m:r>
            </m:e>
            <m:sub>
              <m:r>
                <m:t>t</m:t>
              </m:r>
            </m:sub>
          </m:sSub>
          <m:r>
            <m:t>=</m:t>
          </m:r>
          <m:d>
            <m:dPr>
              <m:begChr m:val="("/>
              <m:endChr m:val=")"/>
              <m:grow/>
            </m:dPr>
            <m:e>
              <m:r>
                <m:t>M</m:t>
              </m:r>
              <m:r>
                <m:t>C</m:t>
              </m:r>
              <m:r>
                <m:t>L</m:t>
              </m:r>
              <m:r>
                <m:t>⋅</m:t>
              </m:r>
              <m:r>
                <m:t>D</m:t>
              </m:r>
              <m:r>
                <m:t>A</m:t>
              </m:r>
              <m:r>
                <m:t>F</m:t>
              </m:r>
            </m:e>
          </m:d>
          <m:r>
            <m:t>+</m:t>
          </m:r>
          <m:d>
            <m:dPr>
              <m:begChr m:val="{"/>
              <m:endChr m:val="}"/>
              <m:grow/>
            </m:dPr>
            <m:e>
              <m:d>
                <m:dPr>
                  <m:begChr m:val="("/>
                  <m:endChr m:val=")"/>
                  <m:grow/>
                </m:dPr>
                <m:e>
                  <m:sSub>
                    <m:e>
                      <m:r>
                        <m:t>K</m:t>
                      </m:r>
                    </m:e>
                    <m:sub>
                      <m:r>
                        <m:t>d</m:t>
                      </m:r>
                    </m:sub>
                  </m:sSub>
                </m:e>
              </m:d>
              <m:r>
                <m:t>+</m:t>
              </m:r>
              <m:f>
                <m:fPr>
                  <m:type m:val="bar"/>
                </m:fPr>
                <m:num>
                  <m:sSub>
                    <m:e>
                      <m:r>
                        <m:t>θ</m:t>
                      </m:r>
                    </m:e>
                    <m:sub>
                      <m:r>
                        <m:t>w</m:t>
                      </m:r>
                    </m:sub>
                  </m:sSub>
                  <m:r>
                    <m:t>+</m:t>
                  </m:r>
                  <m:sSub>
                    <m:e>
                      <m:r>
                        <m:t>θ</m:t>
                      </m:r>
                    </m:e>
                    <m:sub>
                      <m:r>
                        <m:t>a</m:t>
                      </m:r>
                    </m:sub>
                  </m:sSub>
                  <m:r>
                    <m:t>H</m:t>
                  </m:r>
                  <m:r>
                    <m:t>′</m:t>
                  </m:r>
                </m:num>
                <m:den>
                  <m:sSub>
                    <m:e>
                      <m:r>
                        <m:t>ρ</m:t>
                      </m:r>
                    </m:e>
                    <m:sub>
                      <m:r>
                        <m:t>b</m:t>
                      </m:r>
                    </m:sub>
                  </m:sSub>
                </m:den>
              </m:f>
            </m:e>
          </m:d>
        </m:oMath>
      </m:oMathPara>
    </w:p>
    <w:p>
      <w:pPr>
        <w:pStyle w:val="FirstParagraph"/>
      </w:pPr>
      <w:r>
        <w:t xml:space="preserve">where,</w:t>
      </w:r>
    </w:p>
    <w:p>
      <w:pPr>
        <w:pStyle w:val="Compact"/>
        <w:numPr>
          <w:numId w:val="1009"/>
          <w:ilvl w:val="0"/>
        </w:numPr>
      </w:pPr>
      <m:oMath>
        <m:sSub>
          <m:e>
            <m:r>
              <m:t>C</m:t>
            </m:r>
          </m:e>
          <m:sub>
            <m:r>
              <m:t>t</m:t>
            </m:r>
          </m:sub>
        </m:sSub>
      </m:oMath>
      <w:r>
        <w:t xml:space="preserve"> </w:t>
      </w:r>
      <w:r>
        <w:t xml:space="preserve">= the MTGW soil concentration (mg/kg),</w:t>
      </w:r>
    </w:p>
    <w:p>
      <w:pPr>
        <w:pStyle w:val="Compact"/>
        <w:numPr>
          <w:numId w:val="1009"/>
          <w:ilvl w:val="0"/>
        </w:numPr>
      </w:pPr>
      <m:oMath>
        <m:r>
          <m:t>M</m:t>
        </m:r>
        <m:r>
          <m:t>C</m:t>
        </m:r>
        <m:r>
          <m:t>L</m:t>
        </m:r>
      </m:oMath>
      <w:r>
        <w:t xml:space="preserve"> </w:t>
      </w:r>
      <w:r>
        <w:t xml:space="preserve">= the non-zero MCL, DWEL or ADWEL (mg/L),</w:t>
      </w:r>
    </w:p>
    <w:p>
      <w:pPr>
        <w:pStyle w:val="Compact"/>
        <w:numPr>
          <w:numId w:val="1009"/>
          <w:ilvl w:val="0"/>
        </w:numPr>
      </w:pPr>
      <m:oMath>
        <m:r>
          <m:t>D</m:t>
        </m:r>
        <m:r>
          <m:t>A</m:t>
        </m:r>
        <m:r>
          <m:t>F</m:t>
        </m:r>
      </m:oMath>
      <w:r>
        <w:t xml:space="preserve"> </w:t>
      </w:r>
      <w:r>
        <w:t xml:space="preserve">= dilution attenuation factor, unitless</w:t>
      </w:r>
    </w:p>
    <w:p>
      <w:pPr>
        <w:pStyle w:val="Compact"/>
        <w:numPr>
          <w:numId w:val="1009"/>
          <w:ilvl w:val="0"/>
        </w:numPr>
      </w:pPr>
      <m:oMath>
        <m:sSub>
          <m:e>
            <m:r>
              <m:t>K</m:t>
            </m:r>
          </m:e>
          <m:sub>
            <m:r>
              <m:t>d</m:t>
            </m:r>
          </m:sub>
        </m:sSub>
      </m:oMath>
      <w:r>
        <w:t xml:space="preserve"> </w:t>
      </w:r>
      <w:r>
        <w:t xml:space="preserve">= the soil-water partitioning coefficient (L/kg),</w:t>
      </w:r>
    </w:p>
    <w:p>
      <w:pPr>
        <w:pStyle w:val="Compact"/>
        <w:numPr>
          <w:numId w:val="1009"/>
          <w:ilvl w:val="0"/>
        </w:numPr>
      </w:pPr>
      <m:oMath>
        <m:sSub>
          <m:e>
            <m:r>
              <m:t>θ</m:t>
            </m:r>
          </m:e>
          <m:sub>
            <m:r>
              <m:t>w</m:t>
            </m:r>
          </m:sub>
        </m:sSub>
      </m:oMath>
      <w:r>
        <w:t xml:space="preserve"> </w:t>
      </w:r>
      <w:r>
        <w:t xml:space="preserve">= the water-filled soil porosity (Lwater/Lsoil),</w:t>
      </w:r>
    </w:p>
    <w:p>
      <w:pPr>
        <w:pStyle w:val="Compact"/>
        <w:numPr>
          <w:numId w:val="1009"/>
          <w:ilvl w:val="0"/>
        </w:numPr>
      </w:pPr>
      <m:oMath>
        <m:sSub>
          <m:e>
            <m:r>
              <m:t>θ</m:t>
            </m:r>
          </m:e>
          <m:sub>
            <m:r>
              <m:t>a</m:t>
            </m:r>
          </m:sub>
        </m:sSub>
      </m:oMath>
      <w:r>
        <w:t xml:space="preserve"> </w:t>
      </w:r>
      <w:r>
        <w:t xml:space="preserve">= the air-filled soil porosity (Lair/Lsoil),</w:t>
      </w:r>
    </w:p>
    <w:p>
      <w:pPr>
        <w:pStyle w:val="Compact"/>
        <w:numPr>
          <w:numId w:val="1009"/>
          <w:ilvl w:val="0"/>
        </w:numPr>
      </w:pPr>
      <m:oMath>
        <m:r>
          <m:t>H</m:t>
        </m:r>
        <m:r>
          <m:t>′</m:t>
        </m:r>
      </m:oMath>
      <w:r>
        <w:t xml:space="preserve"> </w:t>
      </w:r>
      <w:r>
        <w:t xml:space="preserve">= the Henry’s Law constant (dimensionless), and</w:t>
      </w:r>
    </w:p>
    <w:p>
      <w:pPr>
        <w:pStyle w:val="Compact"/>
        <w:numPr>
          <w:numId w:val="1009"/>
          <w:ilvl w:val="0"/>
        </w:numPr>
      </w:pPr>
      <m:oMath>
        <m:sSub>
          <m:e>
            <m:r>
              <m:t>ρ</m:t>
            </m:r>
          </m:e>
          <m:sub>
            <m:r>
              <m:t>b</m:t>
            </m:r>
          </m:sub>
        </m:sSub>
      </m:oMath>
      <w:r>
        <w:t xml:space="preserve"> </w:t>
      </w:r>
      <w:r>
        <w:t xml:space="preserve">= the dry soil bulk density.</w:t>
      </w:r>
    </w:p>
    <w:p>
      <w:pPr>
        <w:pStyle w:val="FirstParagraph"/>
      </w:pPr>
      <w:r>
        <w:t xml:space="preserve">Using this equation and the following input parameters:</w:t>
      </w:r>
    </w:p>
    <w:p>
      <w:pPr>
        <w:pStyle w:val="Compact"/>
        <w:numPr>
          <w:numId w:val="1010"/>
          <w:ilvl w:val="0"/>
        </w:numPr>
      </w:pPr>
      <m:oMath>
        <m:r>
          <m:t>M</m:t>
        </m:r>
        <m:r>
          <m:t>C</m:t>
        </m:r>
        <m:r>
          <m:t>L</m:t>
        </m:r>
      </m:oMath>
      <w:r>
        <w:t xml:space="preserve"> </w:t>
      </w:r>
      <w:r>
        <w:t xml:space="preserve">= 0.5 (mg/L), for ammonia as N</w:t>
      </w:r>
    </w:p>
    <w:p>
      <w:pPr>
        <w:pStyle w:val="Compact"/>
        <w:numPr>
          <w:numId w:val="1010"/>
          <w:ilvl w:val="0"/>
        </w:numPr>
      </w:pPr>
      <m:oMath>
        <m:sSub>
          <m:e>
            <m:r>
              <m:t>K</m:t>
            </m:r>
          </m:e>
          <m:sub>
            <m:r>
              <m:t>d</m:t>
            </m:r>
          </m:sub>
        </m:sSub>
      </m:oMath>
      <w:r>
        <w:t xml:space="preserve"> </w:t>
      </w:r>
      <w:r>
        <w:t xml:space="preserve">= 0.82 L/kg, which is the value from Trihydro (1995)</w:t>
      </w:r>
    </w:p>
    <w:p>
      <w:pPr>
        <w:pStyle w:val="Compact"/>
        <w:numPr>
          <w:numId w:val="1010"/>
          <w:ilvl w:val="0"/>
        </w:numPr>
      </w:pPr>
      <m:oMath>
        <m:sSub>
          <m:e>
            <m:r>
              <m:t>θ</m:t>
            </m:r>
          </m:e>
          <m:sub>
            <m:r>
              <m:t>w</m:t>
            </m:r>
          </m:sub>
        </m:sSub>
      </m:oMath>
      <w:r>
        <w:t xml:space="preserve"> </w:t>
      </w:r>
      <w:r>
        <w:t xml:space="preserve">= 0.3 which is the WDEQ Fact Sheet #25 default value</w:t>
      </w:r>
    </w:p>
    <w:p>
      <w:pPr>
        <w:pStyle w:val="Compact"/>
        <w:numPr>
          <w:numId w:val="1010"/>
          <w:ilvl w:val="0"/>
        </w:numPr>
      </w:pPr>
      <m:oMath>
        <m:sSub>
          <m:e>
            <m:r>
              <m:t>θ</m:t>
            </m:r>
          </m:e>
          <m:sub>
            <m:r>
              <m:t>a</m:t>
            </m:r>
          </m:sub>
        </m:sSub>
      </m:oMath>
      <w:r>
        <w:t xml:space="preserve"> </w:t>
      </w:r>
      <w:r>
        <w:t xml:space="preserve">= 0.13 which is the WDEQ Fact Sheet #25 default value</w:t>
      </w:r>
    </w:p>
    <w:p>
      <w:pPr>
        <w:pStyle w:val="Compact"/>
        <w:numPr>
          <w:numId w:val="1010"/>
          <w:ilvl w:val="0"/>
        </w:numPr>
      </w:pPr>
      <m:oMath>
        <m:r>
          <m:t>H</m:t>
        </m:r>
        <m:r>
          <m:t>′</m:t>
        </m:r>
      </m:oMath>
      <w:r>
        <w:t xml:space="preserve"> </w:t>
      </w:r>
      <w:r>
        <w:t xml:space="preserve">= 0, which is the default value for inorganic contaminants</w:t>
      </w:r>
    </w:p>
    <w:p>
      <w:pPr>
        <w:pStyle w:val="Compact"/>
        <w:numPr>
          <w:numId w:val="1010"/>
          <w:ilvl w:val="0"/>
        </w:numPr>
      </w:pPr>
      <m:oMath>
        <m:sSub>
          <m:e>
            <m:r>
              <m:t>ρ</m:t>
            </m:r>
          </m:e>
          <m:sub>
            <m:r>
              <m:t>b</m:t>
            </m:r>
          </m:sub>
        </m:sSub>
      </m:oMath>
      <w:r>
        <w:t xml:space="preserve"> </w:t>
      </w:r>
      <w:r>
        <w:t xml:space="preserve">= 1.5 which is the WDEQ Fact Sheet #25 default value</w:t>
      </w:r>
    </w:p>
    <w:p>
      <w:pPr>
        <w:pStyle w:val="FirstParagraph"/>
      </w:pPr>
      <m:oMath>
        <m:sSub>
          <m:e>
            <m:r>
              <m:t>C</m:t>
            </m:r>
          </m:e>
          <m:sub>
            <m:r>
              <m:t>t</m:t>
            </m:r>
          </m:sub>
        </m:sSub>
      </m:oMath>
      <w:r>
        <w:t xml:space="preserve"> </w:t>
      </w:r>
      <w:r>
        <w:t xml:space="preserve">is equal to 29.7 mg/kg.</w:t>
      </w:r>
    </w:p>
    <w:p>
      <w:pPr>
        <w:pStyle w:val="Heading2"/>
      </w:pPr>
      <w:bookmarkStart w:id="25" w:name="references"/>
      <w:r>
        <w:t xml:space="preserve">References</w:t>
      </w:r>
      <w:bookmarkEnd w:id="25"/>
    </w:p>
    <w:p>
      <w:pPr>
        <w:pStyle w:val="FirstParagraph"/>
      </w:pPr>
      <w:r>
        <w:t xml:space="preserve">Tetra Tech. 2018. Initial VRP Site Characterization Report, Wyoming Department of Environmental Quality</w:t>
      </w:r>
      <w:r>
        <w:t xml:space="preserve"> </w:t>
      </w:r>
      <w:r>
        <w:t xml:space="preserve">VRP Site #58.190, Simplot Grower Solutions Site, South Torrington, Wyoming. April.</w:t>
      </w:r>
    </w:p>
    <w:p>
      <w:pPr>
        <w:pStyle w:val="BodyText"/>
      </w:pPr>
      <w:r>
        <w:t xml:space="preserve">Trihydro. 1995. Reference Needed.</w:t>
      </w:r>
    </w:p>
    <w:p>
      <w:pPr>
        <w:pStyle w:val="BodyText"/>
      </w:pPr>
      <w:r>
        <w:t xml:space="preserve">United States Environmental Protection Agency (USEPA). 1996. Soil Screening Guidance: User’s Guide. EPA/540/R-96/018.</w:t>
      </w:r>
      <w:r>
        <w:t xml:space="preserve"> </w:t>
      </w:r>
      <w:hyperlink r:id="rId26">
        <w:r>
          <w:rPr>
            <w:rStyle w:val="Hyperlink"/>
          </w:rPr>
          <w:t xml:space="preserve">https://www.epa.gov/superfund/superfund-soil-screening-guidance</w:t>
        </w:r>
      </w:hyperlink>
      <w:r>
        <w:t xml:space="preserve">.</w:t>
      </w:r>
    </w:p>
    <w:p>
      <w:pPr>
        <w:pStyle w:val="BodyText"/>
      </w:pPr>
      <w:r>
        <w:t xml:space="preserve">USEPA. 1996b. Soil Screening Guidance: Technical Background Document.</w:t>
      </w:r>
      <w:r>
        <w:t xml:space="preserve"> </w:t>
      </w:r>
      <w:hyperlink r:id="rId26">
        <w:r>
          <w:rPr>
            <w:rStyle w:val="Hyperlink"/>
          </w:rPr>
          <w:t xml:space="preserve">https://www.epa.gov/superfund/superfund-soil-screening-guidance</w:t>
        </w:r>
      </w:hyperlink>
      <w:r>
        <w:t xml:space="preserve">.</w:t>
      </w:r>
    </w:p>
    <w:p>
      <w:pPr>
        <w:pStyle w:val="BodyText"/>
      </w:pPr>
      <w:r>
        <w:t xml:space="preserve">Wyoming Department of Environmental Quality (WDEQ). 2018a. Fact Sheet #12D Soil and Groundwater Cleanup Level Tables. Revised 11/1/2018. Available at:</w:t>
      </w:r>
      <w:r>
        <w:br/>
      </w:r>
      <w:hyperlink r:id="rId27">
        <w:r>
          <w:rPr>
            <w:rStyle w:val="Hyperlink"/>
          </w:rPr>
          <w:t xml:space="preserve">http://deq.wyoming.gov/media/attachments/Solid%20%26%20Hazardous%20Waste/Voluntary%20Remediation%20Program/Fact%20Sheets/October2018_VRP_Factsheet12D%20Soil%20And%20Groundwater%20Cleanup%20Level%20Tables%20BL%20(1).xlsx</w:t>
        </w:r>
      </w:hyperlink>
      <w:r>
        <w:t xml:space="preserve">.</w:t>
      </w:r>
    </w:p>
    <w:p>
      <w:pPr>
        <w:pStyle w:val="BodyText"/>
      </w:pPr>
      <w:r>
        <w:t xml:space="preserve">WDEQ. 2018b. Fact Sheet #12 Technical Memorandum: Migration to Groundwater. Revised 11/19/2018. Available at:</w:t>
      </w:r>
      <w:r>
        <w:t xml:space="preserve"> </w:t>
      </w:r>
      <w:hyperlink r:id="rId28">
        <w:r>
          <w:rPr>
            <w:rStyle w:val="Hyperlink"/>
          </w:rPr>
          <w:t xml:space="preserve">http://deq.wyoming.gov/media/attachments/Solid%20%26%20Hazardous%20Waste/Voluntary%20Remediation%20Program/Fact%20Sheets/FS12_TechMemo_MTGW_11.19.2018.pdf</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deq.wyoming.gov/media/attachments/Solid%20%26%20Hazardous%20Waste/Voluntary%20Remediation%20Program/Fact%20Sheets/FS12_TechMemo_MTGW_11.19.2018.pdf" TargetMode="External" /><Relationship Type="http://schemas.openxmlformats.org/officeDocument/2006/relationships/hyperlink" Id="rId27" Target="http://deq.wyoming.gov/media/attachments/Solid%20%26%20Hazardous%20Waste/Voluntary%20Remediation%20Program/Fact%20Sheets/October2018_VRP_Factsheet12D%20Soil%20And%20Groundwater%20Cleanup%20Level%20Tables%20BL%20(1).xlsx" TargetMode="External" /><Relationship Type="http://schemas.openxmlformats.org/officeDocument/2006/relationships/hyperlink" Id="rId26" Target="https://www.epa.gov/superfund/superfund-soil-screening-guidance" TargetMode="External" /></Relationships>
</file>

<file path=word/_rels/footnotes.xml.rels><?xml version="1.0" encoding="UTF-8"?>
<Relationships xmlns="http://schemas.openxmlformats.org/package/2006/relationships"><Relationship Type="http://schemas.openxmlformats.org/officeDocument/2006/relationships/hyperlink" Id="rId28" Target="http://deq.wyoming.gov/media/attachments/Solid%20%26%20Hazardous%20Waste/Voluntary%20Remediation%20Program/Fact%20Sheets/FS12_TechMemo_MTGW_11.19.2018.pdf" TargetMode="External" /><Relationship Type="http://schemas.openxmlformats.org/officeDocument/2006/relationships/hyperlink" Id="rId27" Target="http://deq.wyoming.gov/media/attachments/Solid%20%26%20Hazardous%20Waste/Voluntary%20Remediation%20Program/Fact%20Sheets/October2018_VRP_Factsheet12D%20Soil%20And%20Groundwater%20Cleanup%20Level%20Tables%20BL%20(1).xlsx" TargetMode="External" /><Relationship Type="http://schemas.openxmlformats.org/officeDocument/2006/relationships/hyperlink" Id="rId26" Target="https://www.epa.gov/superfund/superfund-soil-screening-guid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A, Migration to Groundwater Screening Level Calculations</dc:title>
  <dc:creator>Western Sugar Cooperative, Torrington, Wyoming</dc:creator>
  <cp:keywords/>
  <dcterms:created xsi:type="dcterms:W3CDTF">2020-11-11T22:10:10Z</dcterms:created>
  <dcterms:modified xsi:type="dcterms:W3CDTF">2020-11-11T22:10:10Z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11/11/2020</vt:lpwstr>
  </property>
  <property fmtid="{D5CDD505-2E9C-101B-9397-08002B2CF9AE}" pid="3" name="output">
    <vt:lpwstr/>
  </property>
</Properties>
</file>