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Interference</w:t>
      </w:r>
      <w:r>
        <w:t xml:space="preserve"> </w:t>
      </w:r>
      <w:r>
        <w:t xml:space="preserve">Investigation</w:t>
      </w:r>
      <w:r>
        <w:t xml:space="preserve"> </w:t>
      </w:r>
      <w:r>
        <w:t xml:space="preserve">Report</w:t>
      </w:r>
    </w:p>
    <w:p>
      <w:pPr>
        <w:pStyle w:val="Subtitle"/>
      </w:pPr>
      <w:r>
        <w:br/>
      </w:r>
      <w:r>
        <w:br/>
      </w:r>
      <w:r>
        <w:t xml:space="preserve">Gabriel</w:t>
      </w:r>
      <w:r>
        <w:t xml:space="preserve"> </w:t>
      </w:r>
      <w:r>
        <w:t xml:space="preserve">Ruiz</w:t>
      </w:r>
      <w:r>
        <w:br/>
      </w:r>
      <w:r>
        <w:br/>
      </w:r>
      <w:r>
        <w:t xml:space="preserve">vs.</w:t>
      </w:r>
      <w:r>
        <w:br/>
      </w:r>
      <w:r>
        <w:br/>
      </w:r>
      <w:r>
        <w:t xml:space="preserve">Gross</w:t>
      </w:r>
      <w:r>
        <w:t xml:space="preserve"> </w:t>
      </w:r>
      <w:r>
        <w:t xml:space="preserve">Wilkinson</w:t>
      </w:r>
      <w:r>
        <w:t xml:space="preserve"> </w:t>
      </w:r>
      <w:r>
        <w:t xml:space="preserve">Ranch</w:t>
      </w:r>
      <w:r>
        <w:br/>
      </w:r>
      <w:r>
        <w:br/>
      </w:r>
    </w:p>
    <w:p>
      <w:pPr>
        <w:pStyle w:val="Author"/>
      </w:pPr>
      <w:r>
        <w:t xml:space="preserve">Ground</w:t>
      </w:r>
      <w:r>
        <w:t xml:space="preserve"> </w:t>
      </w:r>
      <w:r>
        <w:t xml:space="preserve">Water</w:t>
      </w:r>
      <w:r>
        <w:t xml:space="preserve"> </w:t>
      </w:r>
      <w:r>
        <w:t xml:space="preserve">Division</w:t>
      </w:r>
      <w:r>
        <w:br/>
      </w:r>
      <w:r>
        <w:t xml:space="preserve">Wyoming</w:t>
      </w:r>
      <w:r>
        <w:t xml:space="preserve"> </w:t>
      </w:r>
      <w:r>
        <w:t xml:space="preserve">State</w:t>
      </w:r>
      <w:r>
        <w:t xml:space="preserve"> </w:t>
      </w:r>
      <w:r>
        <w:t xml:space="preserve">Engineer’s</w:t>
      </w:r>
      <w:r>
        <w:t xml:space="preserve"> </w:t>
      </w:r>
      <w:r>
        <w:t xml:space="preserve">Office</w:t>
      </w:r>
      <w:r>
        <w:br/>
      </w:r>
    </w:p>
    <w:p>
      <w:pPr>
        <w:pStyle w:val="Date"/>
      </w:pPr>
      <w:r>
        <w:t xml:space="preserve">August</w:t>
      </w:r>
      <w:r>
        <w:t xml:space="preserve"> </w:t>
      </w:r>
      <w:r>
        <w:t xml:space="preserve">2022</w:t>
      </w:r>
      <w:r>
        <w:br/>
      </w:r>
      <w:r>
        <w:br/>
      </w:r>
      <w:r>
        <w:br/>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introduction"/>
    <w:p>
      <w:pPr>
        <w:pStyle w:val="Heading1"/>
      </w:pPr>
      <w:r>
        <w:t xml:space="preserve">1. Introduction</w:t>
      </w:r>
    </w:p>
    <w:p>
      <w:pPr>
        <w:pStyle w:val="FirstParagraph"/>
      </w:pPr>
      <w: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p>
      <w:pPr>
        <w:pStyle w:val="BodyText"/>
      </w:pPr>
      <w:r>
        <w:t xml:space="preserve">The two wells referenced above are fully adjudicated groundwater production wells located adjacent to an approximately 10 acre gravel pit near LaGrange, Wyoming, in southern Goshen County. The gravel pit intersects the water table, causing the pit to fill partially or completely with groundwater depending on seasonal water levels and irrigation pumping. The gravel pit and wells are located in the LaGrange alluvial valley, situated in between Bear and Horse Creeks, in an area of relatively heavy irrigation utilizing both surface and ground water rights.</w:t>
      </w:r>
    </w:p>
    <w:bookmarkStart w:id="20" w:name="complaint"/>
    <w:p>
      <w:pPr>
        <w:pStyle w:val="Heading2"/>
      </w:pPr>
      <w:r>
        <w:t xml:space="preserve">1.1 Complaint</w:t>
      </w:r>
    </w:p>
    <w:p>
      <w:pPr>
        <w:pStyle w:val="FirstParagraph"/>
      </w:pPr>
      <w:r>
        <w:t xml:space="preserve">Mr. Ruiz contends that pumping from the Bill Ward No. 2 Well (and its enlargement) draws down the level of the water in the gravel pit excessively. Mr. Ruiz requested an interference investigation pursuant to Wyo. Stat. § 41-3-911(b).</w:t>
      </w:r>
    </w:p>
    <w:p>
      <w:pPr>
        <w:pStyle w:val="BodyText"/>
      </w:pPr>
      <w: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pPr>
        <w:pStyle w:val="BodyText"/>
      </w:pPr>
      <w:r>
        <w:t xml:space="preserve">Upon initial review of records, SEO personnel established the following:</w:t>
      </w:r>
    </w:p>
    <w:p>
      <w:pPr>
        <w:numPr>
          <w:ilvl w:val="0"/>
          <w:numId w:val="1001"/>
        </w:numPr>
      </w:pPr>
      <w:r>
        <w:t xml:space="preserve">Valid water rights appear to exist for each of the wells in question.</w:t>
      </w:r>
    </w:p>
    <w:p>
      <w:pPr>
        <w:numPr>
          <w:ilvl w:val="0"/>
          <w:numId w:val="1001"/>
        </w:numPr>
      </w:pPr>
      <w:r>
        <w:t xml:space="preserve">The wells are screened in the LaGrange Aquifer alluvium. The Bill Ward No. 2 Well is 60 feet deep, and the Sherard Well No. 6 Well is 43 feet deep. Both wells are screened across the full saturated thickness of the alluvium at their respective locations.</w:t>
      </w:r>
    </w:p>
    <w:p>
      <w:pPr>
        <w:numPr>
          <w:ilvl w:val="0"/>
          <w:numId w:val="1001"/>
        </w:numPr>
      </w:pPr>
      <w:r>
        <w:t xml:space="preserve">The priority date of the Sherard Well No. 6 (05/14/1970) is senior to the priority date of the Bill Ward No. 2 Well (03/17/1971).</w:t>
      </w:r>
    </w:p>
    <w:p>
      <w:pPr>
        <w:numPr>
          <w:ilvl w:val="0"/>
          <w:numId w:val="1001"/>
        </w:numPr>
      </w:pPr>
      <w:r>
        <w:t xml:space="preserve">The Sherard No. 6 Well is permitted for irrigation and miscellaneous use. The remarks section of the permit states that the miscellaneous use is for fish culture and recreational purposes.</w:t>
      </w:r>
    </w:p>
    <w:p>
      <w:pPr>
        <w:numPr>
          <w:ilvl w:val="0"/>
          <w:numId w:val="1001"/>
        </w:numPr>
      </w:pPr>
      <w:r>
        <w:t xml:space="preserve">The Bill Ward No. 2 Well is permitted for irrigation use. The remarks section of the permit states that the property owners (at the time) agreed that Permit No. U.W. 5461 (Sherard No. 6) would have first right to use of the water.</w:t>
      </w:r>
      <w:r>
        <w:br/>
      </w:r>
    </w:p>
    <w:bookmarkEnd w:id="20"/>
    <w:bookmarkStart w:id="21" w:name="authority"/>
    <w:p>
      <w:pPr>
        <w:pStyle w:val="Heading2"/>
      </w:pPr>
      <w:r>
        <w:t xml:space="preserve">1.2 Authority</w:t>
      </w:r>
    </w:p>
    <w:p>
      <w:pPr>
        <w:pStyle w:val="FirstParagraph"/>
      </w:pPr>
      <w:r>
        <w:t xml:space="preserve">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pPr>
        <w:pStyle w:val="BodyText"/>
      </w:pPr>
      <w:r>
        <w:t xml:space="preserve">The statutes relating to interference are:</w:t>
      </w:r>
      <w:r>
        <w:br/>
      </w:r>
    </w:p>
    <w:p>
      <w:pPr>
        <w:pStyle w:val="SourceCode"/>
      </w:pPr>
      <w:r>
        <w:rPr>
          <w:rStyle w:val="VerbatimChar"/>
        </w:rPr>
        <w:t xml:space="preserve">§41-3-911.  Authority to order interfering appropriator to cease withdrawals of water; hearing complaints by appropriators.</w:t>
      </w:r>
      <w:r>
        <w:br/>
      </w:r>
      <w:r>
        <w:br/>
      </w:r>
      <w:r>
        <w:rPr>
          <w:rStyle w:val="VerbatimChar"/>
        </w:rP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r>
      <w:r>
        <w:rPr>
          <w:rStyle w:val="VerbatimChar"/>
        </w:rP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r>
      <w:r>
        <w:rPr>
          <w:rStyle w:val="VerbatimChar"/>
        </w:rP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r>
      <w:r>
        <w:rPr>
          <w:rStyle w:val="VerbatimChar"/>
        </w:rPr>
        <w:t xml:space="preserve">§41-3-916.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r>
      <w:r>
        <w:rPr>
          <w:rStyle w:val="VerbatimChar"/>
        </w:rPr>
        <w:t xml:space="preserve">§41-3-933.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r>
      <w:r>
        <w:rPr>
          <w:rStyle w:val="VerbatimChar"/>
        </w:rPr>
        <w:t xml:space="preserve">§41-3-102.  Preferred uses; defined; order of preference.</w:t>
      </w:r>
      <w:r>
        <w:br/>
      </w:r>
      <w:r>
        <w:br/>
      </w:r>
      <w:r>
        <w:rPr>
          <w:rStyle w:val="VerbatimChar"/>
        </w:rP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r>
      <w:r>
        <w:rPr>
          <w:rStyle w:val="VerbatimChar"/>
        </w:rPr>
        <w:t xml:space="preserve">    (b)  Preferred water uses shall have preference rights in the following order: </w:t>
      </w:r>
      <w:r>
        <w:br/>
      </w:r>
      <w:r>
        <w:rPr>
          <w:rStyle w:val="VerbatimChar"/>
        </w:rPr>
        <w:t xml:space="preserve">        (i)     Water for drinking purposes for both man and beast; </w:t>
      </w:r>
      <w:r>
        <w:br/>
      </w:r>
      <w:r>
        <w:rPr>
          <w:rStyle w:val="VerbatimChar"/>
        </w:rPr>
        <w:t xml:space="preserve">        (ii Water for municipal purposes; </w:t>
      </w:r>
      <w:r>
        <w:br/>
      </w:r>
      <w:r>
        <w:rPr>
          <w:rStyle w:val="VerbatimChar"/>
        </w:rPr>
        <w:t xml:space="preserve">        (iii)   Water for the use of steam engines and for general railway use, water for culinary, laundry, bathing, refrigerating (including the manufacture of ice), for steam and hot water heating plants, and steam power plants; and </w:t>
      </w:r>
      <w:r>
        <w:br/>
      </w:r>
      <w:r>
        <w:rPr>
          <w:rStyle w:val="VerbatimChar"/>
        </w:rPr>
        <w:t xml:space="preserve">        (iv)    Industrial purposes. </w:t>
      </w:r>
      <w:r>
        <w:br/>
      </w:r>
      <w:r>
        <w:br/>
      </w:r>
      <w:r>
        <w:rPr>
          <w:rStyle w:val="VerbatimChar"/>
        </w:rP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pPr>
        <w:pStyle w:val="FirstParagraph"/>
      </w:pPr>
      <w:r>
        <w:br/>
      </w:r>
    </w:p>
    <w:bookmarkEnd w:id="21"/>
    <w:bookmarkStart w:id="22" w:name="water-rights"/>
    <w:p>
      <w:pPr>
        <w:pStyle w:val="Heading2"/>
      </w:pPr>
      <w:r>
        <w:t xml:space="preserve">1.3 Water Rights</w:t>
      </w:r>
    </w:p>
    <w:p>
      <w:pPr>
        <w:pStyle w:val="FirstParagraph"/>
      </w:pPr>
      <w:r>
        <w:t xml:space="preserve">Appendix B provides copies of the permit documentation for the Sherard No. 6 and Bill Ward No. 2 wells. Figure 1 illustrates the location of selected area groundwater wells. Summaries for completion and permit information for the wells referenced in this report are included on Table 1. Additionally, detailed information regarding the construction is provided below.</w:t>
      </w:r>
    </w:p>
    <w:p>
      <w:r>
        <w:br w:type="page"/>
      </w:r>
    </w:p>
    <w:bookmarkEnd w:id="22"/>
    <w:bookmarkEnd w:id="23"/>
    <w:bookmarkStart w:id="26" w:name="geologic-and-hydrogeologic-overview"/>
    <w:p>
      <w:pPr>
        <w:pStyle w:val="Heading1"/>
      </w:pPr>
      <w:r>
        <w:t xml:space="preserve">2. Geologic and Hydrogeologic Overview</w:t>
      </w:r>
    </w:p>
    <w:p>
      <w:pPr>
        <w:pStyle w:val="FirstParagraph"/>
      </w:pPr>
      <w:r>
        <w:t xml:space="preserve">The geology of the LaGrange area in southeastern Wyoming was described by Rapp and others (1957) in their report on the geology and ground-water resources of Goshen County, and by Borchert (1976) in a report on the geohydrology of the Albin and LaGrange areas. Annual precipitation in nearby Torrington, Wyoming is approximately 14 inches per year (Rapp et al. 1957, NOAA U.S. Climate Normals 1991-2020). Mean net evaporation estimated using the Kohler-Nordenson-Fox equation with a coefficient of 0.7 for free-water surface evaporation at Whalen Diversion Dam (approximately 50 miles northwest of LaGrange) is approximately 34.8 inches per year based on data collected from 1949 to 1991 (Curtis and Grimes 2004).</w:t>
      </w:r>
      <w:r>
        <w:br/>
      </w:r>
    </w:p>
    <w:bookmarkStart w:id="24" w:name="stratigraphy"/>
    <w:p>
      <w:pPr>
        <w:pStyle w:val="Heading2"/>
      </w:pPr>
      <w:r>
        <w:t xml:space="preserve">2.1 Stratigraphy</w:t>
      </w:r>
    </w:p>
    <w:p>
      <w:pPr>
        <w:pStyle w:val="FirstParagraph"/>
      </w:pPr>
      <w:r>
        <w:t xml:space="preserve">Geologic strata occurring in the vicinity of LaGrange include the Lance Formation of Late Cretaceous age, the Chadron and Brule Formations of the White River Group of Oligocene age, the Arikaree Formation of early Miocene age, the terrace deposits of Pleistocene age, and the alluvium of Pleistocene and Holocene age. Geologic maps and stratigraphic columns of the area were developed by Borchert (1976) and refined by Stafford and Loveland (2020).</w:t>
      </w:r>
      <w:r>
        <w:br/>
      </w:r>
    </w:p>
    <w:bookmarkEnd w:id="24"/>
    <w:bookmarkStart w:id="25" w:name="hydrogeology"/>
    <w:p>
      <w:pPr>
        <w:pStyle w:val="Heading2"/>
      </w:pPr>
      <w:r>
        <w:t xml:space="preserve">2.2 Hydrogeology</w:t>
      </w:r>
    </w:p>
    <w:p>
      <w:pPr>
        <w:pStyle w:val="FirstParagraph"/>
      </w:pPr>
      <w:r>
        <w:t xml:space="preserve">The Lance, Chadron, and Arikaree Formations are not significant aquifers in the La Grange area (Borchert 1976). Transmissive units that form aquifers in the vicinity of LaGrange are the alluvium and the Brule Formation of the White River Group.</w:t>
      </w:r>
      <w:r>
        <w:br/>
      </w:r>
      <w:r>
        <w:br/>
      </w:r>
      <w:r>
        <w:t xml:space="preserve">The alluvium consists of valley-fill deposits in the vicinity of La Grange and floodplain deposits extending along most of Horse Creek and its principal tributary, Bear Creek. The alluvium is saturated and permeable in the lowlands near Horse Creek, and is hydraulically connected with most of the underlying White River Group. Transmissivity estimates for the alluvium provided in Borchert (1976) range from 17200 ft2/d to 50,200 ft2/d with a mean of 33,150 ft2/d.</w:t>
      </w:r>
      <w:r>
        <w:br/>
      </w:r>
      <w:r>
        <w:br/>
      </w:r>
      <w:r>
        <w:t xml:space="preserve">The Brule Formation is the uppermost formation of the White River Group and underlies the alluvium in the valley of Horse Creek. The Brulé formation consists of relatively uniform moderately well-consolidated silt and very fine grained sand and massive, moderately hard, brittle, argillaceous siltstone. It is generally considered an aquitard, but may exhibit fracturing and secondary permeability in certain areas, resulting in significant local water production. Both the Sherard No 6 well and the Bill Ward No. 2 well produce water from alluvium. The Bill Ward No. 2 Well is 60 feet deep and the geologic log of the well makes no mention of the Brule Formation or other hard/impermeable material, so it may be possible to deepen the well slightly in alluvial material. However, the alluvium is generally understood to be approximately 60 feet thick in most of this area. The Sherard No. 6 well is 43 feet deep and the geologic log of the location notes clay/hardpan at 36 feet, which suggests the top of the Brule Formation. It may be possible to produce additional water at either location by deepening the well and attempting to access fracture permeability in the Brule Formation. However, this could also be unsuccessful if attempted, at considerable expense.</w:t>
      </w:r>
      <w:r>
        <w:br/>
      </w:r>
      <w:r>
        <w:br/>
      </w:r>
      <w:r>
        <w:t xml:space="preserve">The Sherard No. 6 and Bill Ward No. 2 wells are in an area for which the numerical model constructed by Hinckley Consulting and AMEC (2011) used 89.14 ft/d as the hydraulic conductivity value. As this model was constructed and parameterized using available pumping test and water level data from all wells in the surrounding area, this value is considered the best available estimate of hydraulic conductivity at the location of the wells. It is possible that local production test data would yield a different hydraulic conductivity value, however.</w:t>
      </w:r>
      <w:r>
        <w:br/>
      </w:r>
      <w:r>
        <w:br/>
      </w:r>
      <w:r>
        <w:t xml:space="preserve">In the area east of Horse Creek, Hawk Springs Reservoir and 14 adjacent wells used to supplement surface-water supply in the reservoir are in a natural discharge area. The area upgradient of the reservoir contains over 30 irrigation wells. In this area, declining water levels have caused concern about the effects of well pumping on the hydrologic system for decades. Numerical modeling by Borchert (1985) and Hinckley Consulting and AMEC (2011) was conducted to evaluate the connection between groundwater and surface water resources and determine the sustainable rate of groundwater production. The First Amended Order of the State Engineer - Horse Creek Basin was issued based on the results of the Hinckley Consulting and AMEC (2011) modeling.</w:t>
      </w:r>
      <w:r>
        <w:br/>
      </w:r>
    </w:p>
    <w:p>
      <w:r>
        <w:br w:type="page"/>
      </w:r>
    </w:p>
    <w:bookmarkEnd w:id="25"/>
    <w:bookmarkEnd w:id="26"/>
    <w:bookmarkStart w:id="27" w:name="horse-creek-order"/>
    <w:p>
      <w:pPr>
        <w:pStyle w:val="Heading1"/>
      </w:pPr>
      <w:r>
        <w:t xml:space="preserve">3. Horse Creek Order</w:t>
      </w:r>
    </w:p>
    <w:p>
      <w:pPr>
        <w:pStyle w:val="FirstParagraph"/>
      </w:pPr>
      <w:r>
        <w:t xml:space="preserve">The Horse Creek Order is an order issued by the Wyoming State Engineer (</w:t>
      </w:r>
      <w:r>
        <w:t xml:space="preserve">“</w:t>
      </w:r>
      <w:r>
        <w:t xml:space="preserve">The Order</w:t>
      </w:r>
      <w:r>
        <w:t xml:space="preserve">”</w:t>
      </w:r>
      <w:r>
        <w:t xml:space="preserve">).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r>
      <w:r>
        <w:t xml:space="preserve">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r>
      <w:r>
        <w:t xml:space="preserve">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r>
      <w:r>
        <w:t xml:space="preserve">The Order has been reassessed periodically since its issuance. The 2017 ammended order increased the groundwater production cap from 12 acre-in per year to 15 acre in per year, with a three year rolling cap of 45 acre in per year.</w:t>
      </w:r>
      <w:r>
        <w:br/>
      </w:r>
      <w:r>
        <w:br/>
      </w:r>
      <w:r>
        <w:t xml:space="preserve">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for the years 2017-2021 is provided in Table 1. According to Table 1, both water rights generally pump an amount of water well below their allotted annual production cap. In the case of Sherard No. 6, the lack of pumping is an attempt to preserve the water level in the adjacent gravel pit (Gabriel Ruiz, personal communication, 8/18/2022).</w:t>
      </w:r>
      <w:r>
        <w:br/>
      </w:r>
    </w:p>
    <w:p>
      <w:r>
        <w:br w:type="page"/>
      </w:r>
    </w:p>
    <w:bookmarkEnd w:id="27"/>
    <w:bookmarkStart w:id="31" w:name="data-and-analysis"/>
    <w:p>
      <w:pPr>
        <w:pStyle w:val="Heading1"/>
      </w:pPr>
      <w:r>
        <w:t xml:space="preserve">4. Data and Analysis</w:t>
      </w:r>
    </w:p>
    <w:p>
      <w:pPr>
        <w:pStyle w:val="FirstParagraph"/>
      </w:pPr>
      <w:r>
        <w:t xml:space="preserve">This section contains data relating to groundwater levels, groundwater production rates, and estimated cones of depression for the wells under consideration, which was compiled by the SEO- Ground Water Division.</w:t>
      </w:r>
    </w:p>
    <w:bookmarkStart w:id="28" w:name="groundwater-level-data"/>
    <w:p>
      <w:pPr>
        <w:pStyle w:val="Heading2"/>
      </w:pPr>
      <w:r>
        <w:t xml:space="preserve">4.1 Groundwater Level Data</w:t>
      </w:r>
    </w:p>
    <w:p>
      <w:pPr>
        <w:pStyle w:val="FirstParagraph"/>
      </w:pPr>
      <w:r>
        <w:t xml:space="preserve">Information on pump flow rates and water levels from the statements of completion of the wells under consideration is summarized in Table 1. Apart from the information on the statement of completion, there are no available water level records for either well. The SEO monitors groundwater levels at several monitoring wells located within a few miles of this location. The nearest monitoring wells are J. Ward, located about 0.75 miles west of the gravel pit, Ward’s Yard about 1.25 miles west of the gravel pit, and LaGrange No. 1, located about 2 miles southeast of the gravel pit. Hydrographs for these three wells for the time period 2010-2022 are included in Appendix C. Appendix C also contains a location map of all monitoring wells in the area and hydrographs from each monitoring location for the entire period of record.</w:t>
      </w:r>
    </w:p>
    <w:p>
      <w:pPr>
        <w:pStyle w:val="BodyText"/>
      </w:pPr>
      <w:r>
        <w:t xml:space="preserve">Water levels at each location have declined somewhat since 2016, corresponding to a generally drier period. Relative to historical water levels recorded since approximately 1980, current water levels at Ward’s Yard are approximately the same, J. Ward is about 10 feet below it’s historical mean water level, and LaGrange No. 1 is about 7 feet below it’s 1980-2000 water level, which is comparable to levels observed at that location during the early 2000s.</w:t>
      </w:r>
    </w:p>
    <w:bookmarkEnd w:id="28"/>
    <w:bookmarkStart w:id="29" w:name="groundwater-production-data"/>
    <w:p>
      <w:pPr>
        <w:pStyle w:val="Heading2"/>
      </w:pPr>
      <w:r>
        <w:t xml:space="preserve">4.2 Groundwater Production Data</w:t>
      </w:r>
    </w:p>
    <w:p>
      <w:pPr>
        <w:pStyle w:val="FirstParagraph"/>
      </w:pPr>
      <w:r>
        <w:t xml:space="preserve">Production meter readings collected by SEO personnel were used to tabulate total annual water production for each well to assess compliance with the Horse Creek Order. This information is released in annual hydrographer reports for Water Division 1, District 2. Table 2 contains the compiled annual production reported from Bill Ward No. 2 and Sherard No. 6. The data shows that the average annual production from Bill Ward No. 2 from 2017 to 2021 was 94.71 acre-feet per year. This would correspond to pumping approximately 226 gallons per minute continuously during a 95 day irrigation season. Sherard No. 6 shows no production since 2018. During 2017 and 2018, when the well was pumped, the average annual production from Sherard No. 6 was 8.2 acre-feet per year. This would correspond to pumping approximately 20 gallons per minute continuously during a 95 day irrigation season. Both of these pumping rates are a small fraction of the permitted appropriation amount associated with each water right (approximately 10% of the appropriation amount for Bill Ward No. 2 and 1% of the appropriation amount for Sherard No. 6).</w:t>
      </w:r>
    </w:p>
    <w:p>
      <w:pPr>
        <w:pStyle w:val="BodyText"/>
      </w:pPr>
      <w:r>
        <w:t xml:space="preserve">On average, the gross wilkinson ranch applies xx acre inches per year for irrigation, y% of which comes from bill ward no 2.</w:t>
      </w:r>
    </w:p>
    <w:p>
      <w:pPr>
        <w:pStyle w:val="BodyText"/>
      </w:pPr>
      <w:r>
        <w:t xml:space="preserve">The evaporative loss from the gravel pit is estimated to be zz acre feet per year.</w:t>
      </w:r>
    </w:p>
    <w:bookmarkEnd w:id="29"/>
    <w:bookmarkStart w:id="30" w:name="Xe2d09916ebd73fb162fa5cd89ad1b690f4c021b"/>
    <w:p>
      <w:pPr>
        <w:pStyle w:val="Heading2"/>
      </w:pPr>
      <w:r>
        <w:t xml:space="preserve">4.3 Estimated Theroetical Cones of Depression</w:t>
      </w:r>
    </w:p>
    <w:p>
      <w:pPr>
        <w:pStyle w:val="FirstParagraph"/>
      </w:pPr>
      <w:r>
        <w:t xml:space="preserve">The Theis equation (Theis 1935) was used to project drawdown from pumping each well at 60% of it’s maximum adjudicated flow rate continuously during a 95 day irrigation season. The cone of depression for each well is plotted and superimposed on the other well’s on Figure 1. Because drawdown is additive, the drawdown at a location in the area of overlapping cones of depression between the two wells would be equal to the sum of the predicted drawdowns for each well individually (Fetter, 1994).</w:t>
      </w:r>
    </w:p>
    <w:p>
      <w:pPr>
        <w:pStyle w:val="BodyText"/>
      </w:pPr>
      <w:r>
        <w:t xml:space="preserve">One of the assumptions underlying the Theis Equation is that the aquifer is of infinite extent (Theis, 1935). This is generally not an issue when analyzing a short term pumping test using the Theis equation, but it is important to recognize that this condition is not met when making projections of theoretical drawdown at regional scale over very long periods of time. In our application, we use the Theis equation to project maximum drawdown at the end of a single 95 day irrigation season.</w:t>
      </w:r>
    </w:p>
    <w:p>
      <w:pPr>
        <w:pStyle w:val="BodyText"/>
      </w:pPr>
      <w:r>
        <w:t xml:space="preserve">Figure 2 depicts a similar estimate of drawdown using the Theis equation, except that the average annual use rate is used in setting the flow rate from the well. This figure suggests a much smaller radius of influence for Sherard No. 6, because of the lack of groundwater pumping.</w:t>
      </w:r>
    </w:p>
    <w:p>
      <w:pPr>
        <w:pStyle w:val="BodyText"/>
      </w:pPr>
      <w:r>
        <w:t xml:space="preserve">Figure 3 depicts the Sherard No 6 Well’s cone of depression based on 60% of it’s permitted maximum flow rate, and the Bill Ward No. 2 well based on 2017-2021 average annual use rate. The overlap in the cones of depression depicted on Figure 3 is approximately xx%.</w:t>
      </w:r>
    </w:p>
    <w:p>
      <w:pPr>
        <w:pStyle w:val="BodyText"/>
      </w:pPr>
      <w:r>
        <w:t xml:space="preserve">These calculations suggest there is potential for Bill Ward No. 2 to interfere significantly with Sherard No. 6 depending on the extraction flow rate at each location. However, Figure 3 suggests it is possible for Sherard No. 6 to extract water at its permitted flow rate without</w:t>
      </w:r>
      <w:r>
        <w:t xml:space="preserve"> </w:t>
      </w:r>
      <w:r>
        <w:t xml:space="preserve">“</w:t>
      </w:r>
      <w:r>
        <w:t xml:space="preserve">unreasonable</w:t>
      </w:r>
      <w:r>
        <w:t xml:space="preserve">”</w:t>
      </w:r>
      <w:r>
        <w:t xml:space="preserve"> </w:t>
      </w:r>
      <w:r>
        <w:t xml:space="preserve">interference from Bill Ward No. 2 at production levels comparable to current annual use from Bill Ward No. 2. If both wells were pumped as suggested in Figure 3, the water level in the adjacent Gravel Pit would likely be affected. However, the Sherard No. 6 water right does not guarantee any specific water level in the pit. The water right simply permits the pit as a point of use.</w:t>
      </w:r>
    </w:p>
    <w:p>
      <w:r>
        <w:br w:type="page"/>
      </w:r>
    </w:p>
    <w:bookmarkEnd w:id="30"/>
    <w:bookmarkEnd w:id="31"/>
    <w:bookmarkStart w:id="39" w:name="options"/>
    <w:p>
      <w:pPr>
        <w:pStyle w:val="Heading1"/>
      </w:pPr>
      <w:r>
        <w:t xml:space="preserve">5. Options</w:t>
      </w:r>
    </w:p>
    <w:p>
      <w:pPr>
        <w:pStyle w:val="FirstParagraph"/>
      </w:pPr>
      <w:r>
        <w:t xml:space="preserve">The Ground Water Division has identified potential solutions for ameliorating the impacts which were likely experienced at the Sherard No. 6 well. These solutions are presented in no particular order.</w:t>
      </w:r>
      <w:r>
        <w:br/>
      </w:r>
    </w:p>
    <w:bookmarkStart w:id="32" w:name="no-regulation"/>
    <w:p>
      <w:pPr>
        <w:pStyle w:val="Heading2"/>
      </w:pPr>
      <w:r>
        <w:t xml:space="preserve">5.1 No Regulation</w:t>
      </w:r>
    </w:p>
    <w:p>
      <w:pPr>
        <w:pStyle w:val="FirstParagraph"/>
      </w:pPr>
      <w:r>
        <w:t xml:space="preserve">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bookmarkEnd w:id="32"/>
    <w:bookmarkStart w:id="33" w:name="X4a5c2a59b8802a3719b3f93dc439d20fac42d92"/>
    <w:p>
      <w:pPr>
        <w:pStyle w:val="Heading2"/>
      </w:pPr>
      <w:r>
        <w:t xml:space="preserve">5.2 Require use of water by Sherard No. 6 before interference can be claimed</w:t>
      </w:r>
    </w:p>
    <w:p>
      <w:pPr>
        <w:pStyle w:val="FirstParagraph"/>
      </w:pPr>
      <w:r>
        <w:t xml:space="preserve">SEO records indicate that no water has been produced by the Sherard No. 6 well since 2018. Beneficial use is the basis, measure, and the limit of all water rights. As there has been no water produced, there can have been no beneficial use, and the Sherard No. 6 water right may be eligible for abandonment under Wyo. Stat. 41-3-401. While it is possible that this is due to limited water supply because of ongoing interference, field personnel should establish whether it is possible to pump an instantaneous supply of 2000 GPM from Sherard No. 6.</w:t>
      </w:r>
      <w:r>
        <w:br/>
      </w:r>
    </w:p>
    <w:bookmarkEnd w:id="33"/>
    <w:bookmarkStart w:id="34" w:name="Xf3bb3af936785b6a83fcd14486edea8240b1bcc"/>
    <w:p>
      <w:pPr>
        <w:pStyle w:val="Heading2"/>
      </w:pPr>
      <w:r>
        <w:t xml:space="preserve">5.3 Furnishment of water at the expense of the junior appropriator</w:t>
      </w:r>
    </w:p>
    <w:p>
      <w:pPr>
        <w:pStyle w:val="FirstParagraph"/>
      </w:pPr>
      <w:r>
        <w:t xml:space="preserve">If it can be shown that the Sherard No. 6 Well cannot yield 2000 GPM during the irrigation season by active pumping, the provision of 2000 GPM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the 2000 GPM during the irrigation season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bookmarkEnd w:id="34"/>
    <w:bookmarkStart w:id="35" w:name="X7c83fe9d3c8d2410d61a37f93e4594702cf2a31"/>
    <w:p>
      <w:pPr>
        <w:pStyle w:val="Heading2"/>
      </w:pPr>
      <w:r>
        <w:t xml:space="preserve">5.4 Curtailment of production from Bill Ward No. 2 to a</w:t>
      </w:r>
      <w:r>
        <w:t xml:space="preserve"> </w:t>
      </w:r>
      <w:r>
        <w:t xml:space="preserve">“</w:t>
      </w:r>
      <w:r>
        <w:t xml:space="preserve">reasonable</w:t>
      </w:r>
      <w:r>
        <w:t xml:space="preserve">”</w:t>
      </w:r>
      <w:r>
        <w:t xml:space="preserve"> </w:t>
      </w:r>
      <w:r>
        <w:t xml:space="preserve">level of interference</w:t>
      </w:r>
    </w:p>
    <w:p>
      <w:pPr>
        <w:pStyle w:val="FirstParagraph"/>
      </w:pPr>
      <w:r>
        <w:t xml:space="preserve">SEO records suggest that average annual water production from Bill Ward No. 2 Well during the last 5 years (2017-2021) was 96.34 acre-feet per year. Our calculations of the cones of depression caused by pumping Sherard No. 6 and Bill Ward No. 2 suggest that there would be a 31% overlap of the cones of depression if each well was operated for 95 days, with Sherard No. 6 pumping 2000 GPM and Bill Ward No. 2 pumping 180 GPM. If this were the entire production for the year, the annualized production rate from Bill Ward No. 2 would be approximately 76 acre feet per year. This would be approximately 80% of the average annual production from Bill Ward No. 2 over the last 5 years. This reduction in pumping rate would reduce the magnitude of interference with Sherard No. 6 to a</w:t>
      </w:r>
      <w:r>
        <w:t xml:space="preserve"> </w:t>
      </w:r>
      <w:r>
        <w:t xml:space="preserve">“</w:t>
      </w:r>
      <w:r>
        <w:t xml:space="preserve">reasonable</w:t>
      </w:r>
      <w:r>
        <w:t xml:space="preserve">”</w:t>
      </w:r>
      <w:r>
        <w:t xml:space="preserve"> </w:t>
      </w:r>
      <w:r>
        <w:t xml:space="preserve">level, consistent with the use of the language</w:t>
      </w:r>
      <w:r>
        <w:t xml:space="preserve"> </w:t>
      </w:r>
      <w:r>
        <w:t xml:space="preserve">“</w:t>
      </w:r>
      <w:r>
        <w:t xml:space="preserve">unreasonable interference</w:t>
      </w:r>
      <w:r>
        <w:t xml:space="preserve">”</w:t>
      </w:r>
      <w:r>
        <w:t xml:space="preserve"> </w:t>
      </w:r>
      <w:r>
        <w:t xml:space="preserve">in Wyo. Stat. 41-3-911(a) while allowing continued operation of Bill Ward No. 2 to support irrigation use. Again, the statement about</w:t>
      </w:r>
      <w:r>
        <w:t xml:space="preserve"> </w:t>
      </w:r>
      <w:r>
        <w:t xml:space="preserve">“</w:t>
      </w:r>
      <w:r>
        <w:t xml:space="preserve">unreasonable interference</w:t>
      </w:r>
      <w:r>
        <w:t xml:space="preserve">”</w:t>
      </w:r>
      <w:r>
        <w:t xml:space="preserve"> </w:t>
      </w:r>
      <w:r>
        <w:t xml:space="preserve">occurs in reference to interference with domestic and stock wells specifically.</w:t>
      </w:r>
      <w:r>
        <w:br/>
      </w:r>
    </w:p>
    <w:bookmarkEnd w:id="35"/>
    <w:bookmarkStart w:id="36" w:name="user-agreement"/>
    <w:p>
      <w:pPr>
        <w:pStyle w:val="Heading2"/>
      </w:pPr>
      <w:r>
        <w:t xml:space="preserve">5.5 User Agreement</w:t>
      </w:r>
    </w:p>
    <w:p>
      <w:pPr>
        <w:pStyle w:val="FirstParagraph"/>
      </w:pPr>
      <w:r>
        <w:t xml:space="preserve">Wyo. Stat. §41-3-915(c) specifies that appropriators within a Control Area</w:t>
      </w:r>
      <w:r>
        <w:t xml:space="preserve"> </w:t>
      </w:r>
      <w:r>
        <w:t xml:space="preserve">“</w:t>
      </w:r>
      <w:r>
        <w:t xml:space="preserve">may agree to any method or scheme of control of withdrawals, well spacing, apportionment, rotation or proration of the common supply of underground water.</w:t>
      </w:r>
      <w:r>
        <w:t xml:space="preserve">”</w:t>
      </w:r>
      <w:r>
        <w:t xml:space="preserve"> </w:t>
      </w:r>
      <w:r>
        <w:t xml:space="preserve">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 The presence of that user agreement, however, does not diminish the validity of the Bill Ward No. 2 water right. It is suggested that SEO personnel work with the property owners to develop or revise a user agreement. Personal communication with Gabriel Ruiz (8/18/2022) suggests that there was a recent user agreement in place between the two property owners, but that Mr. Ruiz believes the other property owner is not following that agreement. This should be revisited in discussions with the property owners.</w:t>
      </w:r>
      <w:r>
        <w:br/>
      </w:r>
    </w:p>
    <w:bookmarkEnd w:id="36"/>
    <w:bookmarkStart w:id="37" w:name="rotation"/>
    <w:p>
      <w:pPr>
        <w:pStyle w:val="Heading2"/>
      </w:pPr>
      <w:r>
        <w:t xml:space="preserve">5.6 Rotation</w:t>
      </w:r>
    </w:p>
    <w:p>
      <w:pPr>
        <w:pStyle w:val="FirstParagraph"/>
      </w:pPr>
      <w:r>
        <w:t xml:space="preserve">Wyoming Statute § 41-3-612 provides for rotation of water. A written notice of intention to rotate must be submitted to the hydrographer-commissioner and may involve various appropriations owned by one party, or multiple appropriations owned by different parties. The hydrographer-commissioner exercises broad authority over authorizing and regulating proposals to rotate. A simple rotation scheme of pumping Bill Ward No. 2 10 days on / 10 days off throughout the irrigation season may minimize the cumulative drawdown on the aquifer and gravel pit, allowing time for the aquifer to recharge the water level in the pit during dry periods and preventing excessive dewatering of the pit that negatively affects fish culture. The hydrographer-commissioner may work with the appropriators in developing an acceptable rotation scheme.</w:t>
      </w:r>
      <w:r>
        <w:br/>
      </w:r>
    </w:p>
    <w:bookmarkEnd w:id="37"/>
    <w:bookmarkStart w:id="38" w:name="regulation-of-bill-ward-no.-2"/>
    <w:p>
      <w:pPr>
        <w:pStyle w:val="Heading2"/>
      </w:pPr>
      <w:r>
        <w:t xml:space="preserve">5.7 Regulation of Bill Ward No. 2</w:t>
      </w:r>
    </w:p>
    <w:p>
      <w:pPr>
        <w:pStyle w:val="FirstParagraph"/>
      </w:pPr>
      <w:r>
        <w:t xml:space="preserve">Withdrawals of water from Bill Ward No. 2 could be stopped, to protect the senior water right of Sherard No. 6. This option is not preferred because of existing measures to conserve water and prevent priority regulation of groundwater wells in this area (Horse Creek Order). It is also possible that other wells contribute to the interference with Sherard No. 6, and it is possible that nearby junior appropriator wells interfere with Bill Ward No. 2. Invoking this regulation mechanism would likely trigger a cascade of interference complaints that would expand outward to the point that most or all users of the single source of supply would become involved. This could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r>
        <w:br w:type="page"/>
      </w:r>
    </w:p>
    <w:bookmarkEnd w:id="38"/>
    <w:bookmarkEnd w:id="39"/>
    <w:bookmarkStart w:id="40" w:name="conclusions-and-recommendations"/>
    <w:p>
      <w:pPr>
        <w:pStyle w:val="Heading1"/>
      </w:pPr>
      <w:r>
        <w:t xml:space="preserve">6. Conclusions and Recommendations</w:t>
      </w:r>
    </w:p>
    <w:p>
      <w:pPr>
        <w:pStyle w:val="FirstParagraph"/>
      </w:pPr>
      <w:r>
        <w:t xml:space="preserve">..</w:t>
      </w:r>
    </w:p>
    <w:p>
      <w:r>
        <w:br w:type="page"/>
      </w:r>
    </w:p>
    <w:bookmarkEnd w:id="40"/>
    <w:bookmarkStart w:id="41" w:name="references"/>
    <w:p>
      <w:pPr>
        <w:pStyle w:val="Heading1"/>
      </w:pPr>
      <w:r>
        <w:t xml:space="preserve">7. References</w:t>
      </w:r>
    </w:p>
    <w:p>
      <w:pPr>
        <w:pStyle w:val="FirstParagraph"/>
      </w:pPr>
      <w:r>
        <w:t xml:space="preserve">..</w:t>
      </w:r>
    </w:p>
    <w:bookmarkEnd w:id="41"/>
    <w:sectPr w:rsidR="00AD31D6" w:rsidSect="00AD31D6">
      <w:pgSz w:h="15840" w:w="12240"/>
      <w:pgMar w:bottom="1440" w:footer="720" w:gutter="0" w:header="720" w:left="1080" w:right="1080" w:top="144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0428BD">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04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0428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0D8291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C34D2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74FC4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FB6A49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3CAE9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E28240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A62BFE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67639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6CE8C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A7806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AA6A99"/>
    <w:multiLevelType w:val="hybridMultilevel"/>
    <w:tmpl w:val="9CF010A6"/>
    <w:lvl w:ilvl="0" w:tplc="04090003">
      <w:start w:val="1"/>
      <w:numFmt w:val="bullet"/>
      <w:lvlText w:val="o"/>
      <w:lvlJc w:val="left"/>
      <w:pPr>
        <w:ind w:hanging="360" w:left="360"/>
      </w:pPr>
      <w:rPr>
        <w:rFonts w:ascii="Courier New" w:cs="Courier New" w:hAnsi="Courier New"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17CF0729"/>
    <w:multiLevelType w:val="hybridMultilevel"/>
    <w:tmpl w:val="A19085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E8F5F32"/>
    <w:multiLevelType w:val="hybridMultilevel"/>
    <w:tmpl w:val="8F60BD10"/>
    <w:lvl w:ilvl="0" w:tplc="0409000F">
      <w:start w:val="1"/>
      <w:numFmt w:val="decimal"/>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3">
    <w:nsid w:val="5E1D35D7"/>
    <w:multiLevelType w:val="hybridMultilevel"/>
    <w:tmpl w:val="FF365C4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8F127FF"/>
    <w:multiLevelType w:val="hybridMultilevel"/>
    <w:tmpl w:val="9E024D1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E8544FC"/>
    <w:multiLevelType w:val="hybridMultilevel"/>
    <w:tmpl w:val="95927350"/>
    <w:lvl w:ilvl="0" w:tplc="4E068F72">
      <w:start w:val="3"/>
      <w:numFmt w:val="lowerLetter"/>
      <w:lvlText w:val="(%1)"/>
      <w:lvlJc w:val="left"/>
      <w:pPr>
        <w:tabs>
          <w:tab w:pos="375" w:val="num"/>
        </w:tabs>
        <w:ind w:hanging="375" w:left="375"/>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BA51D6"/>
    <w:multiLevelType w:val="hybridMultilevel"/>
    <w:tmpl w:val="A37AFEA2"/>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B1935F8"/>
    <w:multiLevelType w:val="hybridMultilevel"/>
    <w:tmpl w:val="663ED646"/>
    <w:lvl w:ilvl="0" w:tplc="BB8A1DA4">
      <w:start w:val="1"/>
      <w:numFmt w:val="decimal"/>
      <w:pStyle w:val="ListParagraph"/>
      <w:lvlText w:val="%1."/>
      <w:lvlJc w:val="left"/>
      <w:pPr>
        <w:ind w:hanging="360" w:left="1980"/>
      </w:pPr>
    </w:lvl>
    <w:lvl w:ilvl="1" w:tentative="1" w:tplc="04090019">
      <w:start w:val="1"/>
      <w:numFmt w:val="lowerLetter"/>
      <w:lvlText w:val="%2."/>
      <w:lvlJc w:val="left"/>
      <w:pPr>
        <w:ind w:hanging="360" w:left="2700"/>
      </w:pPr>
    </w:lvl>
    <w:lvl w:ilvl="2" w:tentative="1" w:tplc="0409001B">
      <w:start w:val="1"/>
      <w:numFmt w:val="lowerRoman"/>
      <w:lvlText w:val="%3."/>
      <w:lvlJc w:val="right"/>
      <w:pPr>
        <w:ind w:hanging="180" w:left="3420"/>
      </w:pPr>
    </w:lvl>
    <w:lvl w:ilvl="3" w:tentative="1" w:tplc="0409000F">
      <w:start w:val="1"/>
      <w:numFmt w:val="decimal"/>
      <w:lvlText w:val="%4."/>
      <w:lvlJc w:val="left"/>
      <w:pPr>
        <w:ind w:hanging="360" w:left="4140"/>
      </w:pPr>
    </w:lvl>
    <w:lvl w:ilvl="4" w:tentative="1" w:tplc="04090019">
      <w:start w:val="1"/>
      <w:numFmt w:val="lowerLetter"/>
      <w:lvlText w:val="%5."/>
      <w:lvlJc w:val="left"/>
      <w:pPr>
        <w:ind w:hanging="360" w:left="4860"/>
      </w:pPr>
    </w:lvl>
    <w:lvl w:ilvl="5" w:tentative="1" w:tplc="0409001B">
      <w:start w:val="1"/>
      <w:numFmt w:val="lowerRoman"/>
      <w:lvlText w:val="%6."/>
      <w:lvlJc w:val="right"/>
      <w:pPr>
        <w:ind w:hanging="180" w:left="5580"/>
      </w:pPr>
    </w:lvl>
    <w:lvl w:ilvl="6" w:tentative="1" w:tplc="0409000F">
      <w:start w:val="1"/>
      <w:numFmt w:val="decimal"/>
      <w:lvlText w:val="%7."/>
      <w:lvlJc w:val="left"/>
      <w:pPr>
        <w:ind w:hanging="360" w:left="6300"/>
      </w:pPr>
    </w:lvl>
    <w:lvl w:ilvl="7" w:tentative="1" w:tplc="04090019">
      <w:start w:val="1"/>
      <w:numFmt w:val="lowerLetter"/>
      <w:lvlText w:val="%8."/>
      <w:lvlJc w:val="left"/>
      <w:pPr>
        <w:ind w:hanging="360" w:left="7020"/>
      </w:pPr>
    </w:lvl>
    <w:lvl w:ilvl="8" w:tentative="1" w:tplc="0409001B">
      <w:start w:val="1"/>
      <w:numFmt w:val="lowerRoman"/>
      <w:lvlText w:val="%9."/>
      <w:lvlJc w:val="right"/>
      <w:pPr>
        <w:ind w:hanging="180" w:left="77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5734324" w:numId="1">
    <w:abstractNumId w:val="15"/>
  </w:num>
  <w:num w16cid:durableId="1951006895" w:numId="2">
    <w:abstractNumId w:val="10"/>
  </w:num>
  <w:num w16cid:durableId="183715354" w:numId="3">
    <w:abstractNumId w:val="17"/>
  </w:num>
  <w:num w16cid:durableId="542715620" w:numId="4">
    <w:abstractNumId w:val="14"/>
  </w:num>
  <w:num w16cid:durableId="287707260" w:numId="5">
    <w:abstractNumId w:val="11"/>
  </w:num>
  <w:num w16cid:durableId="2000384580" w:numId="6">
    <w:abstractNumId w:val="12"/>
  </w:num>
  <w:num w16cid:durableId="1418559124" w:numId="7">
    <w:abstractNumId w:val="13"/>
  </w:num>
  <w:num w16cid:durableId="19017263" w:numId="8">
    <w:abstractNumId w:val="16"/>
  </w:num>
  <w:num w16cid:durableId="1021979839" w:numId="9">
    <w:abstractNumId w:val="9"/>
  </w:num>
  <w:num w16cid:durableId="2130203978" w:numId="10">
    <w:abstractNumId w:val="7"/>
  </w:num>
  <w:num w16cid:durableId="1037044300" w:numId="11">
    <w:abstractNumId w:val="6"/>
  </w:num>
  <w:num w16cid:durableId="1104957739" w:numId="12">
    <w:abstractNumId w:val="5"/>
  </w:num>
  <w:num w16cid:durableId="1749187335" w:numId="13">
    <w:abstractNumId w:val="4"/>
  </w:num>
  <w:num w16cid:durableId="1794061259" w:numId="14">
    <w:abstractNumId w:val="8"/>
  </w:num>
  <w:num w16cid:durableId="1426000000" w:numId="15">
    <w:abstractNumId w:val="3"/>
  </w:num>
  <w:num w16cid:durableId="1552425705" w:numId="16">
    <w:abstractNumId w:val="2"/>
  </w:num>
  <w:num w16cid:durableId="1070074679" w:numId="17">
    <w:abstractNumId w:val="1"/>
  </w:num>
  <w:num w16cid:durableId="717122106" w:numId="1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428BD"/>
    <w:pPr>
      <w:spacing w:after="0" w:line="240" w:lineRule="auto"/>
    </w:pPr>
    <w:rPr>
      <w:rFonts w:ascii="Times New Roman" w:cs="Times New Roman" w:eastAsia="Times New Roman" w:hAnsi="Times New Roman"/>
    </w:rPr>
  </w:style>
  <w:style w:styleId="Heading1" w:type="paragraph">
    <w:name w:val="heading 1"/>
    <w:basedOn w:val="Normal"/>
    <w:next w:val="Normal"/>
    <w:link w:val="Heading1Char"/>
    <w:uiPriority w:val="9"/>
    <w:qFormat/>
    <w:rsid w:val="00942B2E"/>
    <w:pPr>
      <w:outlineLvl w:val="0"/>
    </w:pPr>
    <w:rPr>
      <w:b/>
      <w:caps/>
    </w:rPr>
  </w:style>
  <w:style w:styleId="Heading2" w:type="paragraph">
    <w:name w:val="heading 2"/>
    <w:basedOn w:val="Normal"/>
    <w:next w:val="Normal"/>
    <w:link w:val="Heading2Char"/>
    <w:uiPriority w:val="9"/>
    <w:unhideWhenUsed/>
    <w:qFormat/>
    <w:rsid w:val="00942B2E"/>
    <w:pPr>
      <w:outlineLvl w:val="1"/>
    </w:pPr>
    <w:rPr>
      <w:b/>
      <w:u w:val="single"/>
    </w:rPr>
  </w:style>
  <w:style w:styleId="Heading3" w:type="paragraph">
    <w:name w:val="heading 3"/>
    <w:basedOn w:val="Normal"/>
    <w:next w:val="BodyText"/>
    <w:link w:val="Heading3Char"/>
    <w:qFormat/>
    <w:rsid w:val="00D751C1"/>
    <w:pPr>
      <w:jc w:val="center"/>
      <w:outlineLvl w:val="2"/>
    </w:pPr>
    <w:rPr>
      <w:b/>
      <w:sz w:val="36"/>
      <w:szCs w:val="36"/>
    </w:rPr>
  </w:style>
  <w:style w:styleId="Heading4" w:type="paragraph">
    <w:name w:val="heading 4"/>
    <w:basedOn w:val="Heading3"/>
    <w:next w:val="Normal"/>
    <w:link w:val="Heading4Char"/>
    <w:uiPriority w:val="9"/>
    <w:unhideWhenUsed/>
    <w:qFormat/>
    <w:rsid w:val="00D751C1"/>
    <w:pPr>
      <w:outlineLvl w:val="3"/>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L1" w:type="paragraph">
    <w:name w:val="L1"/>
    <w:basedOn w:val="Normal"/>
    <w:rsid w:val="006112C8"/>
    <w:pPr>
      <w:overflowPunct w:val="0"/>
      <w:autoSpaceDE w:val="0"/>
      <w:autoSpaceDN w:val="0"/>
      <w:adjustRightInd w:val="0"/>
      <w:ind w:firstLine="288"/>
    </w:pPr>
    <w:rPr>
      <w:rFonts w:ascii="Courier New" w:hAnsi="Courier New"/>
      <w:sz w:val="24"/>
    </w:rPr>
  </w:style>
  <w:style w:customStyle="1" w:styleId="L2" w:type="paragraph">
    <w:name w:val="L2"/>
    <w:basedOn w:val="Normal"/>
    <w:rsid w:val="006112C8"/>
    <w:pPr>
      <w:overflowPunct w:val="0"/>
      <w:autoSpaceDE w:val="0"/>
      <w:autoSpaceDN w:val="0"/>
      <w:adjustRightInd w:val="0"/>
      <w:ind w:firstLine="576"/>
    </w:pPr>
    <w:rPr>
      <w:rFonts w:ascii="Courier New" w:hAnsi="Courier New"/>
      <w:sz w:val="24"/>
    </w:rPr>
  </w:style>
  <w:style w:customStyle="1" w:styleId="section" w:type="character">
    <w:name w:val="section"/>
    <w:basedOn w:val="DefaultParagraphFont"/>
    <w:rsid w:val="006112C8"/>
    <w:rPr>
      <w:rFonts w:ascii="Courier New" w:hAnsi="Courier New"/>
      <w:sz w:val="24"/>
    </w:rPr>
  </w:style>
  <w:style w:customStyle="1" w:styleId="mspace" w:type="character">
    <w:name w:val="mspace"/>
    <w:rsid w:val="006112C8"/>
    <w:rPr>
      <w:rFonts w:ascii="Courier New" w:hAnsi="Courier New"/>
      <w:sz w:val="24"/>
    </w:rPr>
  </w:style>
  <w:style w:customStyle="1" w:styleId="sectioncatch" w:type="character">
    <w:name w:val="sectioncatch"/>
    <w:basedOn w:val="DefaultParagraphFont"/>
    <w:rsid w:val="006112C8"/>
    <w:rPr>
      <w:rFonts w:ascii="Courier New" w:hAnsi="Courier New"/>
      <w:sz w:val="24"/>
    </w:rPr>
  </w:style>
  <w:style w:customStyle="1" w:styleId="body" w:type="character">
    <w:name w:val="body"/>
    <w:rsid w:val="00363949"/>
    <w:rPr>
      <w:rFonts w:ascii="Times New Roman" w:hAnsi="Times New Roman"/>
      <w:szCs w:val="22"/>
    </w:rPr>
  </w:style>
  <w:style w:customStyle="1" w:styleId="subsect" w:type="character">
    <w:name w:val="subsect"/>
    <w:basedOn w:val="DefaultParagraphFont"/>
    <w:rsid w:val="006112C8"/>
    <w:rPr>
      <w:rFonts w:ascii="Courier New" w:hAnsi="Courier New"/>
      <w:sz w:val="24"/>
    </w:rPr>
  </w:style>
  <w:style w:customStyle="1" w:styleId="para" w:type="character">
    <w:name w:val="para"/>
    <w:basedOn w:val="DefaultParagraphFont"/>
    <w:rsid w:val="006112C8"/>
    <w:rPr>
      <w:rFonts w:ascii="Courier New" w:hAnsi="Courier New"/>
      <w:sz w:val="24"/>
    </w:rPr>
  </w:style>
  <w:style w:customStyle="1" w:styleId="L3" w:type="paragraph">
    <w:name w:val="L3"/>
    <w:basedOn w:val="Normal"/>
    <w:rsid w:val="006112C8"/>
    <w:pPr>
      <w:overflowPunct w:val="0"/>
      <w:autoSpaceDE w:val="0"/>
      <w:autoSpaceDN w:val="0"/>
      <w:adjustRightInd w:val="0"/>
      <w:ind w:firstLine="864"/>
      <w:textAlignment w:val="baseline"/>
    </w:pPr>
    <w:rPr>
      <w:rFonts w:ascii="Courier New" w:hAnsi="Courier New"/>
      <w:sz w:val="24"/>
    </w:rPr>
  </w:style>
  <w:style w:customStyle="1" w:styleId="Heading3Char" w:type="character">
    <w:name w:val="Heading 3 Char"/>
    <w:basedOn w:val="DefaultParagraphFont"/>
    <w:link w:val="Heading3"/>
    <w:rsid w:val="00D751C1"/>
    <w:rPr>
      <w:rFonts w:ascii="Times New Roman" w:cs="Times New Roman" w:eastAsia="Times New Roman" w:hAnsi="Times New Roman"/>
      <w:b/>
      <w:sz w:val="36"/>
      <w:szCs w:val="36"/>
    </w:rPr>
  </w:style>
  <w:style w:styleId="BodyText" w:type="paragraph">
    <w:name w:val="Body Text"/>
    <w:basedOn w:val="Normal"/>
    <w:link w:val="BodyTextChar"/>
    <w:uiPriority w:val="99"/>
    <w:semiHidden/>
    <w:unhideWhenUsed/>
    <w:rsid w:val="006112C8"/>
    <w:pPr>
      <w:spacing w:after="120"/>
    </w:pPr>
  </w:style>
  <w:style w:customStyle="1" w:styleId="BodyTextChar" w:type="character">
    <w:name w:val="Body Text Char"/>
    <w:basedOn w:val="DefaultParagraphFont"/>
    <w:link w:val="BodyText"/>
    <w:uiPriority w:val="99"/>
    <w:semiHidden/>
    <w:rsid w:val="006112C8"/>
    <w:rPr>
      <w:rFonts w:ascii="Garamond" w:cs="Times New Roman" w:eastAsia="Times New Roman" w:hAnsi="Garamond"/>
      <w:szCs w:val="20"/>
    </w:rPr>
  </w:style>
  <w:style w:styleId="ListParagraph" w:type="paragraph">
    <w:name w:val="List Paragraph"/>
    <w:basedOn w:val="Normal"/>
    <w:uiPriority w:val="34"/>
    <w:qFormat/>
    <w:rsid w:val="005D5197"/>
    <w:pPr>
      <w:numPr>
        <w:numId w:val="3"/>
      </w:numPr>
      <w:overflowPunct w:val="0"/>
      <w:autoSpaceDE w:val="0"/>
      <w:autoSpaceDN w:val="0"/>
      <w:adjustRightInd w:val="0"/>
      <w:ind w:left="720"/>
      <w:textAlignment w:val="baseline"/>
    </w:pPr>
  </w:style>
  <w:style w:styleId="Header" w:type="paragraph">
    <w:name w:val="header"/>
    <w:basedOn w:val="Normal"/>
    <w:link w:val="HeaderChar"/>
    <w:uiPriority w:val="99"/>
    <w:unhideWhenUsed/>
    <w:rsid w:val="0004182B"/>
    <w:pPr>
      <w:tabs>
        <w:tab w:pos="4680" w:val="center"/>
        <w:tab w:pos="9360" w:val="right"/>
      </w:tabs>
    </w:pPr>
  </w:style>
  <w:style w:customStyle="1" w:styleId="HeaderChar" w:type="character">
    <w:name w:val="Header Char"/>
    <w:basedOn w:val="DefaultParagraphFont"/>
    <w:link w:val="Header"/>
    <w:uiPriority w:val="99"/>
    <w:rsid w:val="0004182B"/>
    <w:rPr>
      <w:rFonts w:ascii="Garamond" w:cs="Times New Roman" w:eastAsia="Times New Roman" w:hAnsi="Garamond"/>
      <w:szCs w:val="20"/>
    </w:rPr>
  </w:style>
  <w:style w:styleId="Footer" w:type="paragraph">
    <w:name w:val="footer"/>
    <w:basedOn w:val="Normal"/>
    <w:link w:val="FooterChar"/>
    <w:uiPriority w:val="99"/>
    <w:unhideWhenUsed/>
    <w:rsid w:val="00D751C1"/>
    <w:pPr>
      <w:tabs>
        <w:tab w:pos="4680" w:val="center"/>
        <w:tab w:pos="9360" w:val="right"/>
      </w:tabs>
      <w:jc w:val="right"/>
    </w:pPr>
  </w:style>
  <w:style w:customStyle="1" w:styleId="FooterChar" w:type="character">
    <w:name w:val="Footer Char"/>
    <w:basedOn w:val="DefaultParagraphFont"/>
    <w:link w:val="Footer"/>
    <w:uiPriority w:val="99"/>
    <w:rsid w:val="00D751C1"/>
    <w:rPr>
      <w:rFonts w:ascii="Garamond" w:cs="Times New Roman" w:eastAsia="Times New Roman" w:hAnsi="Garamond"/>
      <w:szCs w:val="20"/>
    </w:rPr>
  </w:style>
  <w:style w:styleId="BalloonText" w:type="paragraph">
    <w:name w:val="Balloon Text"/>
    <w:basedOn w:val="Normal"/>
    <w:link w:val="BalloonTextChar"/>
    <w:uiPriority w:val="99"/>
    <w:semiHidden/>
    <w:unhideWhenUsed/>
    <w:rsid w:val="007336E8"/>
    <w:rPr>
      <w:rFonts w:ascii="Tahoma" w:cs="Tahoma" w:hAnsi="Tahoma"/>
      <w:sz w:val="16"/>
      <w:szCs w:val="16"/>
    </w:rPr>
  </w:style>
  <w:style w:customStyle="1" w:styleId="BalloonTextChar" w:type="character">
    <w:name w:val="Balloon Text Char"/>
    <w:basedOn w:val="DefaultParagraphFont"/>
    <w:link w:val="BalloonText"/>
    <w:uiPriority w:val="99"/>
    <w:semiHidden/>
    <w:rsid w:val="007336E8"/>
    <w:rPr>
      <w:rFonts w:ascii="Tahoma" w:cs="Tahoma" w:eastAsia="Times New Roman" w:hAnsi="Tahoma"/>
      <w:sz w:val="16"/>
      <w:szCs w:val="16"/>
    </w:rPr>
  </w:style>
  <w:style w:styleId="Hyperlink" w:type="character">
    <w:name w:val="Hyperlink"/>
    <w:basedOn w:val="DefaultParagraphFont"/>
    <w:uiPriority w:val="99"/>
    <w:unhideWhenUsed/>
    <w:qFormat/>
    <w:rsid w:val="00085D6E"/>
    <w:rPr>
      <w:color w:themeColor="hyperlink" w:val="0000FF"/>
      <w:u w:val="single"/>
    </w:rPr>
  </w:style>
  <w:style w:styleId="Title" w:type="paragraph">
    <w:name w:val="Title"/>
    <w:basedOn w:val="Normal"/>
    <w:next w:val="Normal"/>
    <w:link w:val="TitleChar"/>
    <w:uiPriority w:val="10"/>
    <w:qFormat/>
    <w:rsid w:val="006F5E1A"/>
    <w:pPr>
      <w:jc w:val="center"/>
    </w:pPr>
    <w:rPr>
      <w:b/>
      <w:caps/>
      <w:sz w:val="40"/>
      <w:szCs w:val="40"/>
    </w:rPr>
  </w:style>
  <w:style w:customStyle="1" w:styleId="TitleChar" w:type="character">
    <w:name w:val="Title Char"/>
    <w:basedOn w:val="DefaultParagraphFont"/>
    <w:link w:val="Title"/>
    <w:uiPriority w:val="10"/>
    <w:rsid w:val="006F5E1A"/>
    <w:rPr>
      <w:rFonts w:ascii="Times New Roman" w:cs="Times New Roman" w:eastAsia="Times New Roman" w:hAnsi="Times New Roman"/>
      <w:b/>
      <w:caps/>
      <w:sz w:val="40"/>
      <w:szCs w:val="40"/>
    </w:rPr>
  </w:style>
  <w:style w:styleId="Subtitle" w:type="paragraph">
    <w:name w:val="Subtitle"/>
    <w:basedOn w:val="Normal"/>
    <w:next w:val="Normal"/>
    <w:link w:val="SubtitleChar"/>
    <w:uiPriority w:val="11"/>
    <w:qFormat/>
    <w:rsid w:val="006F5E1A"/>
    <w:pPr>
      <w:jc w:val="center"/>
    </w:pPr>
    <w:rPr>
      <w:b/>
      <w:caps/>
    </w:rPr>
  </w:style>
  <w:style w:customStyle="1" w:styleId="SubtitleChar" w:type="character">
    <w:name w:val="Subtitle Char"/>
    <w:basedOn w:val="DefaultParagraphFont"/>
    <w:link w:val="Subtitle"/>
    <w:uiPriority w:val="11"/>
    <w:rsid w:val="006F5E1A"/>
    <w:rPr>
      <w:rFonts w:ascii="Times New Roman" w:cs="Times New Roman" w:eastAsia="Times New Roman" w:hAnsi="Times New Roman"/>
      <w:b/>
      <w:caps/>
    </w:rPr>
  </w:style>
  <w:style w:styleId="SubtleReference" w:type="character">
    <w:name w:val="Subtle Reference"/>
    <w:uiPriority w:val="31"/>
    <w:qFormat/>
    <w:rsid w:val="006F5E1A"/>
    <w:rPr>
      <w:rFonts w:ascii="Times New Roman" w:hAnsi="Times New Roman"/>
      <w:sz w:val="16"/>
      <w:szCs w:val="16"/>
    </w:rPr>
  </w:style>
  <w:style w:styleId="Caption" w:type="paragraph">
    <w:name w:val="caption"/>
    <w:basedOn w:val="Normal"/>
    <w:next w:val="Normal"/>
    <w:uiPriority w:val="35"/>
    <w:unhideWhenUsed/>
    <w:qFormat/>
    <w:rsid w:val="00C36356"/>
    <w:pPr>
      <w:jc w:val="center"/>
    </w:pPr>
    <w:rPr>
      <w:b/>
      <w:sz w:val="16"/>
      <w:szCs w:val="16"/>
    </w:rPr>
  </w:style>
  <w:style w:customStyle="1" w:styleId="Heading1Char" w:type="character">
    <w:name w:val="Heading 1 Char"/>
    <w:basedOn w:val="DefaultParagraphFont"/>
    <w:link w:val="Heading1"/>
    <w:uiPriority w:val="9"/>
    <w:rsid w:val="00942B2E"/>
    <w:rPr>
      <w:rFonts w:ascii="Times New Roman" w:cs="Times New Roman" w:eastAsia="Times New Roman" w:hAnsi="Times New Roman"/>
      <w:b/>
      <w:caps/>
    </w:rPr>
  </w:style>
  <w:style w:styleId="TOC1" w:type="paragraph">
    <w:name w:val="toc 1"/>
    <w:basedOn w:val="Normal"/>
    <w:next w:val="Normal"/>
    <w:autoRedefine/>
    <w:uiPriority w:val="39"/>
    <w:unhideWhenUsed/>
    <w:rsid w:val="00C36356"/>
    <w:pPr>
      <w:tabs>
        <w:tab w:pos="360" w:val="left"/>
        <w:tab w:pos="10080" w:val="right"/>
      </w:tabs>
    </w:pPr>
    <w:rPr>
      <w:b/>
    </w:rPr>
  </w:style>
  <w:style w:styleId="TOC2" w:type="paragraph">
    <w:name w:val="toc 2"/>
    <w:basedOn w:val="Normal"/>
    <w:next w:val="Normal"/>
    <w:autoRedefine/>
    <w:uiPriority w:val="39"/>
    <w:unhideWhenUsed/>
    <w:rsid w:val="00C36356"/>
    <w:pPr>
      <w:tabs>
        <w:tab w:pos="360" w:val="left"/>
        <w:tab w:pos="10080" w:val="right"/>
      </w:tabs>
    </w:pPr>
    <w:rPr>
      <w:b/>
    </w:rPr>
  </w:style>
  <w:style w:styleId="TableofFigures" w:type="paragraph">
    <w:name w:val="table of figures"/>
    <w:basedOn w:val="Normal"/>
    <w:next w:val="Normal"/>
    <w:uiPriority w:val="99"/>
    <w:unhideWhenUsed/>
    <w:rsid w:val="00C36356"/>
    <w:pPr>
      <w:tabs>
        <w:tab w:pos="1080" w:val="left"/>
      </w:tabs>
      <w:ind w:hanging="1080" w:left="1080"/>
    </w:pPr>
  </w:style>
  <w:style w:styleId="TableofAuthorities" w:type="paragraph">
    <w:name w:val="table of authorities"/>
    <w:basedOn w:val="Normal"/>
    <w:next w:val="Normal"/>
    <w:uiPriority w:val="99"/>
    <w:unhideWhenUsed/>
    <w:rsid w:val="00C36356"/>
  </w:style>
  <w:style w:customStyle="1" w:styleId="Heading2Char" w:type="character">
    <w:name w:val="Heading 2 Char"/>
    <w:basedOn w:val="DefaultParagraphFont"/>
    <w:link w:val="Heading2"/>
    <w:uiPriority w:val="9"/>
    <w:rsid w:val="00942B2E"/>
    <w:rPr>
      <w:rFonts w:ascii="Times New Roman" w:cs="Times New Roman" w:eastAsia="Times New Roman" w:hAnsi="Times New Roman"/>
      <w:b/>
      <w:u w:val="single"/>
    </w:rPr>
  </w:style>
  <w:style w:styleId="IntenseEmphasis" w:type="character">
    <w:name w:val="Intense Emphasis"/>
    <w:aliases w:val="Statute Quote"/>
    <w:uiPriority w:val="21"/>
    <w:qFormat/>
    <w:rsid w:val="005D5197"/>
    <w:rPr>
      <w:rFonts w:ascii="Times New Roman" w:hAnsi="Times New Roman"/>
      <w:b/>
      <w:i/>
      <w:szCs w:val="22"/>
    </w:rPr>
  </w:style>
  <w:style w:styleId="Emphasis" w:type="character">
    <w:name w:val="Emphasis"/>
    <w:aliases w:val="Statute QUOTE,A LEVEL"/>
    <w:basedOn w:val="subsect"/>
    <w:uiPriority w:val="20"/>
    <w:qFormat/>
    <w:rsid w:val="00D751C1"/>
    <w:rPr>
      <w:rFonts w:ascii="Times New Roman" w:hAnsi="Times New Roman"/>
      <w:i/>
      <w:sz w:val="22"/>
      <w:szCs w:val="22"/>
    </w:rPr>
  </w:style>
  <w:style w:styleId="SubtleEmphasis" w:type="character">
    <w:name w:val="Subtle Emphasis"/>
    <w:aliases w:val="STATUTE QUOTE SMALL ROMAN NUMERAL"/>
    <w:basedOn w:val="para"/>
    <w:uiPriority w:val="19"/>
    <w:qFormat/>
    <w:rsid w:val="00D751C1"/>
    <w:rPr>
      <w:rFonts w:ascii="Times New Roman" w:hAnsi="Times New Roman"/>
      <w:i/>
      <w:sz w:val="22"/>
      <w:szCs w:val="22"/>
    </w:rPr>
  </w:style>
  <w:style w:customStyle="1" w:styleId="Heading4Char" w:type="character">
    <w:name w:val="Heading 4 Char"/>
    <w:basedOn w:val="DefaultParagraphFont"/>
    <w:link w:val="Heading4"/>
    <w:uiPriority w:val="9"/>
    <w:rsid w:val="00D751C1"/>
    <w:rPr>
      <w:rFonts w:ascii="Times New Roman" w:cs="Times New Roman" w:eastAsia="Times New Roman" w:hAnsi="Times New Roman"/>
      <w:b/>
      <w:sz w:val="36"/>
      <w:szCs w:val="36"/>
    </w:rPr>
  </w:style>
  <w:style w:styleId="Date" w:type="paragraph">
    <w:name w:val="Date"/>
    <w:basedOn w:val="Subtitle"/>
    <w:next w:val="Normal"/>
    <w:link w:val="DateChar"/>
    <w:uiPriority w:val="99"/>
    <w:unhideWhenUsed/>
    <w:rsid w:val="007E39F4"/>
  </w:style>
  <w:style w:customStyle="1" w:styleId="DateChar" w:type="character">
    <w:name w:val="Date Char"/>
    <w:basedOn w:val="DefaultParagraphFont"/>
    <w:link w:val="Date"/>
    <w:uiPriority w:val="99"/>
    <w:rsid w:val="007E39F4"/>
    <w:rPr>
      <w:rFonts w:ascii="Times New Roman" w:cs="Times New Roman" w:eastAsia="Times New Roman" w:hAnsi="Times New Roman"/>
      <w:b/>
      <w:caps/>
    </w:rPr>
  </w:style>
  <w:style w:customStyle="1" w:styleId="Author" w:type="paragraph">
    <w:name w:val="Author"/>
    <w:basedOn w:val="Subtitle"/>
    <w:qFormat/>
    <w:rsid w:val="00A76848"/>
  </w:style>
  <w:style w:customStyle="1" w:styleId="affiliation" w:type="paragraph">
    <w:name w:val="affiliation"/>
    <w:basedOn w:val="Author"/>
    <w:qFormat/>
    <w:rsid w:val="00496828"/>
  </w:style>
  <w:style w:styleId="TOAHeading" w:type="paragraph">
    <w:name w:val="toa heading"/>
    <w:basedOn w:val="Normal"/>
    <w:next w:val="Normal"/>
    <w:uiPriority w:val="99"/>
    <w:unhideWhenUsed/>
    <w:rsid w:val="00997790"/>
    <w:pPr>
      <w:spacing w:before="120"/>
    </w:pPr>
    <w:rPr>
      <w:rFonts w:asciiTheme="majorHAnsi" w:cstheme="majorBidi" w:eastAsiaTheme="majorEastAsia" w:hAnsiTheme="majorHAnsi"/>
      <w:b/>
      <w:bC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dcterms:created xsi:type="dcterms:W3CDTF">2022-08-30T20:58:23Z</dcterms:created>
  <dcterms:modified xsi:type="dcterms:W3CDTF">2022-08-30T20:58:23Z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