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Interference</w:t>
      </w:r>
      <w:r>
        <w:t xml:space="preserve"> </w:t>
      </w:r>
      <w:r>
        <w:t xml:space="preserve">Investigation</w:t>
      </w:r>
      <w:r>
        <w:t xml:space="preserve"> </w:t>
      </w:r>
      <w:r>
        <w:t xml:space="preserve">Report</w:t>
      </w:r>
    </w:p>
    <w:p>
      <w:pPr>
        <w:pStyle w:val="Subtitle"/>
      </w:pPr>
      <w:r>
        <w:br/>
      </w:r>
      <w:r>
        <w:br/>
      </w:r>
      <w:r>
        <w:t xml:space="preserve">Gabriel</w:t>
      </w:r>
      <w:r>
        <w:t xml:space="preserve"> </w:t>
      </w:r>
      <w:r>
        <w:t xml:space="preserve">Ruiz</w:t>
      </w:r>
      <w:r>
        <w:br/>
      </w:r>
      <w:r>
        <w:br/>
      </w:r>
      <w:r>
        <w:t xml:space="preserve">vs.</w:t>
      </w:r>
      <w:r>
        <w:br/>
      </w:r>
      <w:r>
        <w:br/>
      </w:r>
      <w:r>
        <w:t xml:space="preserve">Gross</w:t>
      </w:r>
      <w:r>
        <w:t xml:space="preserve"> </w:t>
      </w:r>
      <w:r>
        <w:t xml:space="preserve">Wilkinson</w:t>
      </w:r>
      <w:r>
        <w:t xml:space="preserve"> </w:t>
      </w:r>
      <w:r>
        <w:t xml:space="preserve">Ranch</w:t>
      </w:r>
      <w:r>
        <w:br/>
      </w:r>
      <w:r>
        <w:br/>
      </w:r>
    </w:p>
    <w:p>
      <w:pPr>
        <w:pStyle w:val="Author"/>
      </w:pPr>
      <w:r>
        <w:t xml:space="preserve">Ground</w:t>
      </w:r>
      <w:r>
        <w:t xml:space="preserve"> </w:t>
      </w:r>
      <w:r>
        <w:t xml:space="preserve">Water</w:t>
      </w:r>
      <w:r>
        <w:t xml:space="preserve"> </w:t>
      </w:r>
      <w:r>
        <w:t xml:space="preserve">Division</w:t>
      </w:r>
      <w:r>
        <w:br/>
      </w:r>
      <w:r>
        <w:t xml:space="preserve">Wyoming</w:t>
      </w:r>
      <w:r>
        <w:t xml:space="preserve"> </w:t>
      </w:r>
      <w:r>
        <w:t xml:space="preserve">State</w:t>
      </w:r>
      <w:r>
        <w:t xml:space="preserve"> </w:t>
      </w:r>
      <w:r>
        <w:t xml:space="preserve">Engineer’s</w:t>
      </w:r>
      <w:r>
        <w:t xml:space="preserve"> </w:t>
      </w:r>
      <w:r>
        <w:t xml:space="preserve">Office</w:t>
      </w:r>
      <w:r>
        <w:br/>
      </w:r>
    </w:p>
    <w:p>
      <w:pPr>
        <w:pStyle w:val="Date"/>
      </w:pPr>
      <w:r>
        <w:t xml:space="preserve">August</w:t>
      </w:r>
      <w:r>
        <w:t xml:space="preserve"> </w:t>
      </w:r>
      <w:r>
        <w:t xml:space="preserve">2022</w:t>
      </w:r>
      <w:r>
        <w:br/>
      </w:r>
      <w:r>
        <w:br/>
      </w:r>
      <w:r>
        <w:br/>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introduction"/>
    <w:p>
      <w:pPr>
        <w:pStyle w:val="Heading1"/>
      </w:pPr>
      <w:r>
        <w:t xml:space="preserve">1. Introduction</w:t>
      </w:r>
    </w:p>
    <w:p>
      <w:pPr>
        <w:pStyle w:val="FirstParagraph"/>
      </w:pPr>
      <w: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bookmarkStart w:id="20" w:name="complaint"/>
    <w:p>
      <w:pPr>
        <w:pStyle w:val="Heading2"/>
      </w:pPr>
      <w:r>
        <w:t xml:space="preserve">1.1 Complaint</w:t>
      </w:r>
    </w:p>
    <w:p>
      <w:pPr>
        <w:pStyle w:val="FirstParagraph"/>
      </w:pPr>
      <w:r>
        <w:t xml:space="preserve">Mr. Ruiz contends that pumping from the Bill Ward No. 2 Well (and its enlargement) draws down the level of the water in the gravel pit to the extent that it interferes with his Sherard Well No. 6 water rights for fish culture and recreational purposes. Mr. Ruiz requested an interference investigation pursuant to Wyo. Stat. § 41-3-911(b).</w:t>
      </w:r>
    </w:p>
    <w:p>
      <w:pPr>
        <w:pStyle w:val="BodyText"/>
      </w:pPr>
      <w: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pPr>
        <w:pStyle w:val="BodyText"/>
      </w:pPr>
      <w:r>
        <w:t xml:space="preserve">Upon initial review of records, SEO personnel established the following:</w:t>
      </w:r>
    </w:p>
    <w:p>
      <w:pPr>
        <w:numPr>
          <w:ilvl w:val="0"/>
          <w:numId w:val="1001"/>
        </w:numPr>
      </w:pPr>
      <w:r>
        <w:t xml:space="preserve">Valid water rights appear to exist for each of the wells in question.</w:t>
      </w:r>
    </w:p>
    <w:p>
      <w:pPr>
        <w:numPr>
          <w:ilvl w:val="0"/>
          <w:numId w:val="1001"/>
        </w:numPr>
      </w:pPr>
      <w:r>
        <w:t xml:space="preserve">The wells are screened in the LaGrange Aquifer alluvium. The Bill Ward No. 2 Well is 60 feet deep, and the Sherard Well No. 6 Well is 43 feet deep. Both wells are screened across the full saturated thickness of the alluvium at their respective locations.</w:t>
      </w:r>
    </w:p>
    <w:p>
      <w:pPr>
        <w:numPr>
          <w:ilvl w:val="0"/>
          <w:numId w:val="1001"/>
        </w:numPr>
      </w:pPr>
      <w:r>
        <w:t xml:space="preserve">The priority date of the Sherard Well No. 6 (05/14/1970) is senior to the priority date of the Bill Ward No. 2 Well (03/17/1971).</w:t>
      </w:r>
    </w:p>
    <w:p>
      <w:pPr>
        <w:numPr>
          <w:ilvl w:val="0"/>
          <w:numId w:val="1001"/>
        </w:numPr>
      </w:pPr>
      <w:r>
        <w:t xml:space="preserve">The Sherard No. 6 Well is permitted for irrigation and miscellaneous use. The remarks section of the permit states that the miscellaneous use is for fish culture and recreational purposes.</w:t>
      </w:r>
    </w:p>
    <w:p>
      <w:pPr>
        <w:numPr>
          <w:ilvl w:val="0"/>
          <w:numId w:val="1001"/>
        </w:numPr>
      </w:pPr>
      <w:r>
        <w:t xml:space="preserve">The Bill Ward No. 2 Well is permitted for irrigation use. The remarks section of the permit states that the property owners (at the time) agreed that Permit No. U.W. 5461 (Sherard No. 6) would have first right to use of the water.</w:t>
      </w:r>
      <w:r>
        <w:br/>
      </w:r>
    </w:p>
    <w:bookmarkEnd w:id="20"/>
    <w:bookmarkStart w:id="21" w:name="authority"/>
    <w:p>
      <w:pPr>
        <w:pStyle w:val="Heading2"/>
      </w:pPr>
      <w:r>
        <w:t xml:space="preserve">1.2 Authority</w:t>
      </w:r>
    </w:p>
    <w:p>
      <w:pPr>
        <w:pStyle w:val="FirstParagraph"/>
      </w:pPr>
      <w:r>
        <w:t xml:space="preserve">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pPr>
        <w:pStyle w:val="BodyText"/>
      </w:pPr>
      <w:r>
        <w:t xml:space="preserve">The statutes relating to interference are:</w:t>
      </w:r>
      <w:r>
        <w:br/>
      </w:r>
    </w:p>
    <w:p>
      <w:pPr>
        <w:pStyle w:val="SourceCode"/>
      </w:pPr>
      <w:r>
        <w:rPr>
          <w:rStyle w:val="VerbatimChar"/>
        </w:rPr>
        <w:t xml:space="preserve">§41-3-911.  Authority to order interfering appropriator to cease withdrawals of water; hearing complaints by appropriators.</w:t>
      </w:r>
      <w:r>
        <w:br/>
      </w:r>
      <w:r>
        <w:br/>
      </w:r>
      <w:r>
        <w:rPr>
          <w:rStyle w:val="VerbatimChar"/>
        </w:rP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r>
      <w:r>
        <w:rPr>
          <w:rStyle w:val="VerbatimChar"/>
        </w:rP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r>
      <w:r>
        <w:rPr>
          <w:rStyle w:val="VerbatimChar"/>
        </w:rP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r>
      <w:r>
        <w:rPr>
          <w:rStyle w:val="VerbatimChar"/>
        </w:rPr>
        <w:t xml:space="preserve">§41-3-916.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r>
      <w:r>
        <w:rPr>
          <w:rStyle w:val="VerbatimChar"/>
        </w:rPr>
        <w:t xml:space="preserve">§41-3-933.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r>
      <w:r>
        <w:rPr>
          <w:rStyle w:val="VerbatimChar"/>
        </w:rPr>
        <w:t xml:space="preserve">§41-3-102.  Preferred uses; defined; order of preference.</w:t>
      </w:r>
      <w:r>
        <w:br/>
      </w:r>
      <w:r>
        <w:br/>
      </w:r>
      <w:r>
        <w:rPr>
          <w:rStyle w:val="VerbatimChar"/>
        </w:rP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r>
      <w:r>
        <w:rPr>
          <w:rStyle w:val="VerbatimChar"/>
        </w:rPr>
        <w:t xml:space="preserve">    (b)  Preferred water uses shall have preference rights in the following order: </w:t>
      </w:r>
      <w:r>
        <w:br/>
      </w:r>
      <w:r>
        <w:rPr>
          <w:rStyle w:val="VerbatimChar"/>
        </w:rPr>
        <w:t xml:space="preserve">        (i)     Water for drinking purposes for both man and beast; </w:t>
      </w:r>
      <w:r>
        <w:br/>
      </w:r>
      <w:r>
        <w:rPr>
          <w:rStyle w:val="VerbatimChar"/>
        </w:rPr>
        <w:t xml:space="preserve">        (ii Water for municipal purposes; </w:t>
      </w:r>
      <w:r>
        <w:br/>
      </w:r>
      <w:r>
        <w:rPr>
          <w:rStyle w:val="VerbatimChar"/>
        </w:rPr>
        <w:t xml:space="preserve">        (iii)   Water for the use of steam engines and for general railway use, water for culinary, laundry, bathing, refrigerating (including the manufacture of ice), for steam and hot water heating plants, and steam power plants; and </w:t>
      </w:r>
      <w:r>
        <w:br/>
      </w:r>
      <w:r>
        <w:rPr>
          <w:rStyle w:val="VerbatimChar"/>
        </w:rPr>
        <w:t xml:space="preserve">        (iv)    Industrial purposes. </w:t>
      </w:r>
      <w:r>
        <w:br/>
      </w:r>
      <w:r>
        <w:br/>
      </w:r>
      <w:r>
        <w:rPr>
          <w:rStyle w:val="VerbatimChar"/>
        </w:rP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pPr>
        <w:pStyle w:val="FirstParagraph"/>
      </w:pPr>
      <w:r>
        <w:br/>
      </w:r>
    </w:p>
    <w:bookmarkEnd w:id="21"/>
    <w:bookmarkStart w:id="22" w:name="water-rights"/>
    <w:p>
      <w:pPr>
        <w:pStyle w:val="Heading2"/>
      </w:pPr>
      <w:r>
        <w:t xml:space="preserve">1.3 Water Rights</w:t>
      </w:r>
    </w:p>
    <w:p>
      <w:pPr>
        <w:pStyle w:val="FirstParagraph"/>
      </w:pPr>
      <w:r>
        <w:t xml:space="preserve">Appendix B provides copies of the permit documentation for the Sherard No. 6 and Bill Ward No. 2 wells. Figure 1 illustrates the location of selected area groundwater wells. Summaries for completion and permit information for the wells referenced in this report are included on Table 1. Additionally, detailed information regarding the construction is provided below.</w:t>
      </w:r>
    </w:p>
    <w:p>
      <w:r>
        <w:br w:type="page"/>
      </w:r>
    </w:p>
    <w:bookmarkEnd w:id="22"/>
    <w:bookmarkEnd w:id="23"/>
    <w:bookmarkStart w:id="26" w:name="geologic-and-hydrogeologic-overview"/>
    <w:p>
      <w:pPr>
        <w:pStyle w:val="Heading1"/>
      </w:pPr>
      <w:r>
        <w:t xml:space="preserve">2. Geologic and Hydrogeologic Overview</w:t>
      </w:r>
    </w:p>
    <w:p>
      <w:pPr>
        <w:pStyle w:val="FirstParagraph"/>
      </w:pPr>
      <w:r>
        <w:t xml:space="preserve">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bookmarkStart w:id="24" w:name="stratigraphy"/>
    <w:p>
      <w:pPr>
        <w:pStyle w:val="Heading2"/>
      </w:pPr>
      <w:r>
        <w:t xml:space="preserve">2.1 Stratigraphy</w:t>
      </w:r>
    </w:p>
    <w:p>
      <w:pPr>
        <w:pStyle w:val="FirstParagraph"/>
      </w:pPr>
      <w:r>
        <w:t xml:space="preserve">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bookmarkEnd w:id="24"/>
    <w:bookmarkStart w:id="25" w:name="hydrogeology"/>
    <w:p>
      <w:pPr>
        <w:pStyle w:val="Heading2"/>
      </w:pPr>
      <w:r>
        <w:t xml:space="preserve">2.2 Hydrogeology</w:t>
      </w:r>
    </w:p>
    <w:p>
      <w:pPr>
        <w:pStyle w:val="FirstParagraph"/>
      </w:pPr>
      <w:r>
        <w:t xml:space="preserve">The Lance, Chadron, and Arikaree Formations are not significant aquifers in the La Grange area (Borchert 1976). Transmissive units that form aquifers in the vicinity of LaGrange are the alluvium and the Brule Formation of the White River Group.</w:t>
      </w:r>
      <w:r>
        <w:br/>
      </w:r>
      <w:r>
        <w:br/>
      </w:r>
      <w:r>
        <w:t xml:space="preserve">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r>
      <w:r>
        <w:t xml:space="preserve">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r>
      <w:r>
        <w:t xml:space="preserve">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r>
      <w: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the sustainable rate of groundwater production. The First Amended Order of the State Engineer - Horse Creek Basin was issued based on the results of the Hinckley Consulting and AMEC (2011) modeling.</w:t>
      </w:r>
      <w:r>
        <w:br/>
      </w:r>
    </w:p>
    <w:p>
      <w:r>
        <w:br w:type="page"/>
      </w:r>
    </w:p>
    <w:bookmarkEnd w:id="25"/>
    <w:bookmarkEnd w:id="26"/>
    <w:bookmarkStart w:id="27" w:name="horse-creek-order"/>
    <w:p>
      <w:pPr>
        <w:pStyle w:val="Heading1"/>
      </w:pPr>
      <w:r>
        <w:t xml:space="preserve">3. Horse Creek Order</w:t>
      </w:r>
    </w:p>
    <w:p>
      <w:pPr>
        <w:pStyle w:val="FirstParagraph"/>
      </w:pPr>
      <w:r>
        <w:t xml:space="preserve">The Horse Creek Order is an order issued by the Wyoming State Engineer (</w:t>
      </w:r>
      <w:r>
        <w:t xml:space="preserve">“</w:t>
      </w:r>
      <w:r>
        <w:t xml:space="preserve">The Order</w:t>
      </w:r>
      <w:r>
        <w:t xml:space="preserve">”</w:t>
      </w:r>
      <w:r>
        <w:t xml:space="preserve">).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r>
      <w:r>
        <w:t xml:space="preserve">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r>
      <w:r>
        <w:t xml:space="preserve">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r>
      <w:r>
        <w:t xml:space="preserve">The Order has been reassessed periodically since its issuance. The 2017 ammended order increased the groundwater production cap from 12 acre-in per year to 15 acre in per year, with a three year rolling cap of 45 acre in per year.</w:t>
      </w:r>
      <w:r>
        <w:br/>
      </w:r>
      <w:r>
        <w:br/>
      </w:r>
      <w:r>
        <w:t xml:space="preserve">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for the years 2017-2021 is provided in Table 1. According to Table 1,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r>
        <w:br w:type="page"/>
      </w:r>
    </w:p>
    <w:bookmarkEnd w:id="27"/>
    <w:bookmarkStart w:id="31" w:name="data-and-analysis"/>
    <w:p>
      <w:pPr>
        <w:pStyle w:val="Heading1"/>
      </w:pPr>
      <w:r>
        <w:t xml:space="preserve">4. Data and Analysis</w:t>
      </w:r>
    </w:p>
    <w:p>
      <w:pPr>
        <w:pStyle w:val="FirstParagraph"/>
      </w:pPr>
      <w:r>
        <w:t xml:space="preserve">..</w:t>
      </w:r>
    </w:p>
    <w:bookmarkStart w:id="28" w:name="groundwater-level-data"/>
    <w:p>
      <w:pPr>
        <w:pStyle w:val="Heading2"/>
      </w:pPr>
      <w:r>
        <w:t xml:space="preserve">4.1 Groundwater Level Data</w:t>
      </w:r>
    </w:p>
    <w:p>
      <w:pPr>
        <w:pStyle w:val="FirstParagraph"/>
      </w:pPr>
      <w:r>
        <w:t xml:space="preserve">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and a map showing their locations are included in Appendix C.</w:t>
      </w:r>
    </w:p>
    <w:p>
      <w:pPr>
        <w:pStyle w:val="BodyText"/>
      </w:pPr>
      <w:r>
        <w:t xml:space="preserve">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p>
    <w:bookmarkEnd w:id="28"/>
    <w:bookmarkStart w:id="29" w:name="groundwater-production-data"/>
    <w:p>
      <w:pPr>
        <w:pStyle w:val="Heading2"/>
      </w:pPr>
      <w:r>
        <w:t xml:space="preserve">4.2 Groundwater Production Data</w:t>
      </w:r>
    </w:p>
    <w:p>
      <w:pPr>
        <w:pStyle w:val="FirstParagraph"/>
      </w:pPr>
      <w:r>
        <w:t xml:space="preserve">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w:t>
      </w:r>
    </w:p>
    <w:bookmarkEnd w:id="29"/>
    <w:bookmarkStart w:id="30" w:name="Xe2d09916ebd73fb162fa5cd89ad1b690f4c021b"/>
    <w:p>
      <w:pPr>
        <w:pStyle w:val="Heading2"/>
      </w:pPr>
      <w:r>
        <w:t xml:space="preserve">4.3 Estimated Theroetical Cones of Depression</w:t>
      </w:r>
    </w:p>
    <w:p>
      <w:pPr>
        <w:pStyle w:val="FirstParagraph"/>
      </w:pPr>
      <w:r>
        <w:t xml:space="preserve">..</w:t>
      </w:r>
    </w:p>
    <w:p>
      <w:r>
        <w:br w:type="page"/>
      </w:r>
    </w:p>
    <w:bookmarkEnd w:id="30"/>
    <w:bookmarkEnd w:id="31"/>
    <w:bookmarkStart w:id="38" w:name="options"/>
    <w:p>
      <w:pPr>
        <w:pStyle w:val="Heading1"/>
      </w:pPr>
      <w:r>
        <w:t xml:space="preserve">5. Options</w:t>
      </w:r>
    </w:p>
    <w:p>
      <w:pPr>
        <w:pStyle w:val="FirstParagraph"/>
      </w:pPr>
      <w:r>
        <w:t xml:space="preserve">The Ground Water Division has identified potential solutions for ameliorating the impacts which were likely experienced at the Sherard No. 6 well. These solutions are presented in no particular order.</w:t>
      </w:r>
      <w:r>
        <w:br/>
      </w:r>
    </w:p>
    <w:bookmarkStart w:id="32" w:name="no-regulation"/>
    <w:p>
      <w:pPr>
        <w:pStyle w:val="Heading2"/>
      </w:pPr>
      <w:r>
        <w:t xml:space="preserve">5.1 No Regulation</w:t>
      </w:r>
    </w:p>
    <w:p>
      <w:pPr>
        <w:pStyle w:val="FirstParagraph"/>
      </w:pPr>
      <w:r>
        <w:t xml:space="preserve">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bookmarkEnd w:id="32"/>
    <w:bookmarkStart w:id="33" w:name="X4a5c2a59b8802a3719b3f93dc439d20fac42d92"/>
    <w:p>
      <w:pPr>
        <w:pStyle w:val="Heading2"/>
      </w:pPr>
      <w:r>
        <w:t xml:space="preserve">5.2 Require use of water by Sherard No. 6 before interference can be claimed</w:t>
      </w:r>
    </w:p>
    <w:p>
      <w:pPr>
        <w:pStyle w:val="FirstParagraph"/>
      </w:pPr>
      <w:r>
        <w:t xml:space="preserve">SEO records indicate that no water has been produced by the Sherard No. 6 well since 2018. Beneficial use is the basis, measure, and the limit of all water rights. As there has been no water produced, there can have been no beneficial use, and the Sherard No. 6 water right may be eligible for abandonment under Wyo. Stat. 41-3-401. While it is possible that this is due to limited water supply because of ongoing interference, field personnel should establish whether it is possible to pump an instantaneous supply of 550 GPM from Sherard No. 6.</w:t>
      </w:r>
      <w:r>
        <w:br/>
      </w:r>
    </w:p>
    <w:bookmarkEnd w:id="33"/>
    <w:bookmarkStart w:id="34" w:name="Xf3bb3af936785b6a83fcd14486edea8240b1bcc"/>
    <w:p>
      <w:pPr>
        <w:pStyle w:val="Heading2"/>
      </w:pPr>
      <w:r>
        <w:t xml:space="preserve">5.3 Furnishment of water at the expense of the junior appropriator</w:t>
      </w:r>
    </w:p>
    <w:p>
      <w:pPr>
        <w:pStyle w:val="FirstParagraph"/>
      </w:pPr>
      <w:r>
        <w:t xml:space="preserve">If it can be shown that the Sherard No. 6 Well cannot yield 550 GPM during the irrigation season by active pumping, the provision of 550 GPM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the 550 GPM during the irrigation season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bookmarkEnd w:id="34"/>
    <w:bookmarkStart w:id="35" w:name="X7c83fe9d3c8d2410d61a37f93e4594702cf2a31"/>
    <w:p>
      <w:pPr>
        <w:pStyle w:val="Heading2"/>
      </w:pPr>
      <w:r>
        <w:t xml:space="preserve">5.4 Curtailment of production from Bill Ward No. 2 to a</w:t>
      </w:r>
      <w:r>
        <w:t xml:space="preserve"> </w:t>
      </w:r>
      <w:r>
        <w:t xml:space="preserve">“</w:t>
      </w:r>
      <w:r>
        <w:t xml:space="preserve">reasonable</w:t>
      </w:r>
      <w:r>
        <w:t xml:space="preserve">”</w:t>
      </w:r>
      <w:r>
        <w:t xml:space="preserve"> </w:t>
      </w:r>
      <w:r>
        <w:t xml:space="preserve">level of interference</w:t>
      </w:r>
    </w:p>
    <w:p>
      <w:pPr>
        <w:pStyle w:val="FirstParagraph"/>
      </w:pPr>
      <w:r>
        <w:t xml:space="preserve">SEO records suggest that average annual water production from Bill Ward No. 2 Well during the last 5 years (2017-2021) was 96.34 acre-feet per year. Our calculations of the cones of depression caused by pumping Sherard No. 6 and Bill Ward No. 2 suggest that there would be a 31% overlap of the cones of depression if each well was operated for 95 days, with Sherard No. 6 pumping 550 GPM and Bill Ward No. 2 pumping 180 GPM. If this were the entire production for the year, the annualized production rate from Bill Ward No. 2 would be approximately 76 acre feet per year. This would be approximately 80% of the average annual production from Bill Ward No. 2 over the last 5 years. This reduction in pumping rate would reduce the magnitude of interference with Sherard No. 6 to a</w:t>
      </w:r>
      <w:r>
        <w:t xml:space="preserve"> </w:t>
      </w:r>
      <w:r>
        <w:t xml:space="preserve">“</w:t>
      </w:r>
      <w:r>
        <w:t xml:space="preserve">reasonable</w:t>
      </w:r>
      <w:r>
        <w:t xml:space="preserve">”</w:t>
      </w:r>
      <w:r>
        <w:t xml:space="preserve"> </w:t>
      </w:r>
      <w:r>
        <w:t xml:space="preserve">level, consistent with the use of the language</w:t>
      </w:r>
      <w:r>
        <w:t xml:space="preserve"> </w:t>
      </w:r>
      <w:r>
        <w:t xml:space="preserve">“</w:t>
      </w:r>
      <w:r>
        <w:t xml:space="preserve">unreasonable interference</w:t>
      </w:r>
      <w:r>
        <w:t xml:space="preserve">”</w:t>
      </w:r>
      <w:r>
        <w:t xml:space="preserve"> </w:t>
      </w:r>
      <w:r>
        <w:t xml:space="preserve">in Wyo. Stat. 41-3-911(a) while allowing continued operation of Bill Ward No. 2 to support irrigation use. Again, the statement about</w:t>
      </w:r>
      <w:r>
        <w:t xml:space="preserve"> </w:t>
      </w:r>
      <w:r>
        <w:t xml:space="preserve">“</w:t>
      </w:r>
      <w:r>
        <w:t xml:space="preserve">unreasonable interference</w:t>
      </w:r>
      <w:r>
        <w:t xml:space="preserve">”</w:t>
      </w:r>
      <w:r>
        <w:t xml:space="preserve"> </w:t>
      </w:r>
      <w:r>
        <w:t xml:space="preserve">occurs in reference to interference with domestic and stock wells specifically.</w:t>
      </w:r>
      <w:r>
        <w:br/>
      </w:r>
    </w:p>
    <w:bookmarkEnd w:id="35"/>
    <w:bookmarkStart w:id="36" w:name="user-agreement"/>
    <w:p>
      <w:pPr>
        <w:pStyle w:val="Heading2"/>
      </w:pPr>
      <w:r>
        <w:t xml:space="preserve">5.5 User Agreement</w:t>
      </w:r>
    </w:p>
    <w:p>
      <w:pPr>
        <w:pStyle w:val="FirstParagraph"/>
      </w:pPr>
      <w:r>
        <w:t xml:space="preserve">Wyo. Stat. §41-3-915(c) specifies that appropriators within a Control Area</w:t>
      </w:r>
      <w:r>
        <w:t xml:space="preserve"> </w:t>
      </w:r>
      <w:r>
        <w:t xml:space="preserve">“</w:t>
      </w:r>
      <w:r>
        <w:t xml:space="preserve">may agree to any method or scheme of control of withdrawals, well spacing, apportionment, rotation or proration of the common supply of underground water.</w:t>
      </w:r>
      <w:r>
        <w:t xml:space="preserve">”</w:t>
      </w:r>
      <w:r>
        <w:t xml:space="preserve"> </w:t>
      </w:r>
      <w:r>
        <w:t xml:space="preserve">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suggests that there was a recent user agreement in place between the two property owners, but that Mr. Ruiz believes the other property owner is not following that agreement. This should be revisited in discussions with the property owners.</w:t>
      </w:r>
    </w:p>
    <w:bookmarkEnd w:id="36"/>
    <w:bookmarkStart w:id="37" w:name="regulation-of-bill-ward-no.-2"/>
    <w:p>
      <w:pPr>
        <w:pStyle w:val="Heading2"/>
      </w:pPr>
      <w:r>
        <w:t xml:space="preserve">5.6 Regulation of Bill Ward No. 2</w:t>
      </w:r>
    </w:p>
    <w:p>
      <w:pPr>
        <w:pStyle w:val="FirstParagraph"/>
      </w:pPr>
      <w:r>
        <w:t xml:space="preserve">Withdrawals of water from Bill Ward No. 2 could be stopped, to protect the senior water right of Sherard No. 6. This option is not preferred because of existing measures to conserve water and prevent priority regulation of groundwater wells in this area (Horse Creek Order). It is also likely that other wells contribute to the interference with Sherard No. 6, and it is possible and likely that nearby junior appropriator wells interfere with Bill Ward No. 2. Invoking this regulation mechanism would likely trigger a cascade of interference complaints that would expand outward to the point that most or all users of the single source of supply would become involved. This would likely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r>
        <w:br w:type="page"/>
      </w:r>
    </w:p>
    <w:bookmarkEnd w:id="37"/>
    <w:bookmarkEnd w:id="38"/>
    <w:bookmarkStart w:id="39" w:name="conclusions-and-recommendations"/>
    <w:p>
      <w:pPr>
        <w:pStyle w:val="Heading1"/>
      </w:pPr>
      <w:r>
        <w:t xml:space="preserve">6. Conclusions and Recommendations</w:t>
      </w:r>
    </w:p>
    <w:p>
      <w:pPr>
        <w:pStyle w:val="FirstParagraph"/>
      </w:pPr>
      <w:r>
        <w:t xml:space="preserve">..</w:t>
      </w:r>
    </w:p>
    <w:p>
      <w:r>
        <w:br w:type="page"/>
      </w:r>
    </w:p>
    <w:bookmarkEnd w:id="39"/>
    <w:bookmarkStart w:id="40" w:name="references"/>
    <w:p>
      <w:pPr>
        <w:pStyle w:val="Heading1"/>
      </w:pPr>
      <w:r>
        <w:t xml:space="preserve">7. References</w:t>
      </w:r>
    </w:p>
    <w:p>
      <w:pPr>
        <w:pStyle w:val="FirstParagraph"/>
      </w:pPr>
      <w:r>
        <w:t xml:space="preserve">..</w:t>
      </w:r>
    </w:p>
    <w:bookmarkEnd w:id="40"/>
    <w:sectPr w:rsidR="00AD31D6" w:rsidSect="00AD31D6">
      <w:pgSz w:h="15840" w:w="12240"/>
      <w:pgMar w:bottom="1440" w:footer="720" w:gutter="0" w:header="720" w:left="1080" w:right="1080" w:top="144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0428BD">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04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0428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0D8291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C34D2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74FC4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FB6A49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3CAE9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E28240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A62BFE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67639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6CE8C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A7806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AA6A99"/>
    <w:multiLevelType w:val="hybridMultilevel"/>
    <w:tmpl w:val="9CF010A6"/>
    <w:lvl w:ilvl="0" w:tplc="04090003">
      <w:start w:val="1"/>
      <w:numFmt w:val="bullet"/>
      <w:lvlText w:val="o"/>
      <w:lvlJc w:val="left"/>
      <w:pPr>
        <w:ind w:hanging="360" w:left="360"/>
      </w:pPr>
      <w:rPr>
        <w:rFonts w:ascii="Courier New" w:cs="Courier New" w:hAnsi="Courier New"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17CF0729"/>
    <w:multiLevelType w:val="hybridMultilevel"/>
    <w:tmpl w:val="A19085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E8F5F32"/>
    <w:multiLevelType w:val="hybridMultilevel"/>
    <w:tmpl w:val="8F60BD10"/>
    <w:lvl w:ilvl="0" w:tplc="0409000F">
      <w:start w:val="1"/>
      <w:numFmt w:val="decimal"/>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3">
    <w:nsid w:val="5E1D35D7"/>
    <w:multiLevelType w:val="hybridMultilevel"/>
    <w:tmpl w:val="FF365C4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8F127FF"/>
    <w:multiLevelType w:val="hybridMultilevel"/>
    <w:tmpl w:val="9E024D1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E8544FC"/>
    <w:multiLevelType w:val="hybridMultilevel"/>
    <w:tmpl w:val="95927350"/>
    <w:lvl w:ilvl="0" w:tplc="4E068F72">
      <w:start w:val="3"/>
      <w:numFmt w:val="lowerLetter"/>
      <w:lvlText w:val="(%1)"/>
      <w:lvlJc w:val="left"/>
      <w:pPr>
        <w:tabs>
          <w:tab w:pos="375" w:val="num"/>
        </w:tabs>
        <w:ind w:hanging="375" w:left="375"/>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BA51D6"/>
    <w:multiLevelType w:val="hybridMultilevel"/>
    <w:tmpl w:val="A37AFEA2"/>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B1935F8"/>
    <w:multiLevelType w:val="hybridMultilevel"/>
    <w:tmpl w:val="663ED646"/>
    <w:lvl w:ilvl="0" w:tplc="BB8A1DA4">
      <w:start w:val="1"/>
      <w:numFmt w:val="decimal"/>
      <w:pStyle w:val="ListParagraph"/>
      <w:lvlText w:val="%1."/>
      <w:lvlJc w:val="left"/>
      <w:pPr>
        <w:ind w:hanging="360" w:left="1980"/>
      </w:pPr>
    </w:lvl>
    <w:lvl w:ilvl="1" w:tentative="1" w:tplc="04090019">
      <w:start w:val="1"/>
      <w:numFmt w:val="lowerLetter"/>
      <w:lvlText w:val="%2."/>
      <w:lvlJc w:val="left"/>
      <w:pPr>
        <w:ind w:hanging="360" w:left="2700"/>
      </w:pPr>
    </w:lvl>
    <w:lvl w:ilvl="2" w:tentative="1" w:tplc="0409001B">
      <w:start w:val="1"/>
      <w:numFmt w:val="lowerRoman"/>
      <w:lvlText w:val="%3."/>
      <w:lvlJc w:val="right"/>
      <w:pPr>
        <w:ind w:hanging="180" w:left="3420"/>
      </w:pPr>
    </w:lvl>
    <w:lvl w:ilvl="3" w:tentative="1" w:tplc="0409000F">
      <w:start w:val="1"/>
      <w:numFmt w:val="decimal"/>
      <w:lvlText w:val="%4."/>
      <w:lvlJc w:val="left"/>
      <w:pPr>
        <w:ind w:hanging="360" w:left="4140"/>
      </w:pPr>
    </w:lvl>
    <w:lvl w:ilvl="4" w:tentative="1" w:tplc="04090019">
      <w:start w:val="1"/>
      <w:numFmt w:val="lowerLetter"/>
      <w:lvlText w:val="%5."/>
      <w:lvlJc w:val="left"/>
      <w:pPr>
        <w:ind w:hanging="360" w:left="4860"/>
      </w:pPr>
    </w:lvl>
    <w:lvl w:ilvl="5" w:tentative="1" w:tplc="0409001B">
      <w:start w:val="1"/>
      <w:numFmt w:val="lowerRoman"/>
      <w:lvlText w:val="%6."/>
      <w:lvlJc w:val="right"/>
      <w:pPr>
        <w:ind w:hanging="180" w:left="5580"/>
      </w:pPr>
    </w:lvl>
    <w:lvl w:ilvl="6" w:tentative="1" w:tplc="0409000F">
      <w:start w:val="1"/>
      <w:numFmt w:val="decimal"/>
      <w:lvlText w:val="%7."/>
      <w:lvlJc w:val="left"/>
      <w:pPr>
        <w:ind w:hanging="360" w:left="6300"/>
      </w:pPr>
    </w:lvl>
    <w:lvl w:ilvl="7" w:tentative="1" w:tplc="04090019">
      <w:start w:val="1"/>
      <w:numFmt w:val="lowerLetter"/>
      <w:lvlText w:val="%8."/>
      <w:lvlJc w:val="left"/>
      <w:pPr>
        <w:ind w:hanging="360" w:left="7020"/>
      </w:pPr>
    </w:lvl>
    <w:lvl w:ilvl="8" w:tentative="1" w:tplc="0409001B">
      <w:start w:val="1"/>
      <w:numFmt w:val="lowerRoman"/>
      <w:lvlText w:val="%9."/>
      <w:lvlJc w:val="right"/>
      <w:pPr>
        <w:ind w:hanging="180" w:left="77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5734324" w:numId="1">
    <w:abstractNumId w:val="15"/>
  </w:num>
  <w:num w16cid:durableId="1951006895" w:numId="2">
    <w:abstractNumId w:val="10"/>
  </w:num>
  <w:num w16cid:durableId="183715354" w:numId="3">
    <w:abstractNumId w:val="17"/>
  </w:num>
  <w:num w16cid:durableId="542715620" w:numId="4">
    <w:abstractNumId w:val="14"/>
  </w:num>
  <w:num w16cid:durableId="287707260" w:numId="5">
    <w:abstractNumId w:val="11"/>
  </w:num>
  <w:num w16cid:durableId="2000384580" w:numId="6">
    <w:abstractNumId w:val="12"/>
  </w:num>
  <w:num w16cid:durableId="1418559124" w:numId="7">
    <w:abstractNumId w:val="13"/>
  </w:num>
  <w:num w16cid:durableId="19017263" w:numId="8">
    <w:abstractNumId w:val="16"/>
  </w:num>
  <w:num w16cid:durableId="1021979839" w:numId="9">
    <w:abstractNumId w:val="9"/>
  </w:num>
  <w:num w16cid:durableId="2130203978" w:numId="10">
    <w:abstractNumId w:val="7"/>
  </w:num>
  <w:num w16cid:durableId="1037044300" w:numId="11">
    <w:abstractNumId w:val="6"/>
  </w:num>
  <w:num w16cid:durableId="1104957739" w:numId="12">
    <w:abstractNumId w:val="5"/>
  </w:num>
  <w:num w16cid:durableId="1749187335" w:numId="13">
    <w:abstractNumId w:val="4"/>
  </w:num>
  <w:num w16cid:durableId="1794061259" w:numId="14">
    <w:abstractNumId w:val="8"/>
  </w:num>
  <w:num w16cid:durableId="1426000000" w:numId="15">
    <w:abstractNumId w:val="3"/>
  </w:num>
  <w:num w16cid:durableId="1552425705" w:numId="16">
    <w:abstractNumId w:val="2"/>
  </w:num>
  <w:num w16cid:durableId="1070074679" w:numId="17">
    <w:abstractNumId w:val="1"/>
  </w:num>
  <w:num w16cid:durableId="717122106" w:numId="1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428BD"/>
    <w:pPr>
      <w:spacing w:after="0" w:line="240" w:lineRule="auto"/>
    </w:pPr>
    <w:rPr>
      <w:rFonts w:ascii="Times New Roman" w:cs="Times New Roman" w:eastAsia="Times New Roman" w:hAnsi="Times New Roman"/>
    </w:rPr>
  </w:style>
  <w:style w:styleId="Heading1" w:type="paragraph">
    <w:name w:val="heading 1"/>
    <w:basedOn w:val="Normal"/>
    <w:next w:val="Normal"/>
    <w:link w:val="Heading1Char"/>
    <w:uiPriority w:val="9"/>
    <w:qFormat/>
    <w:rsid w:val="00942B2E"/>
    <w:pPr>
      <w:outlineLvl w:val="0"/>
    </w:pPr>
    <w:rPr>
      <w:b/>
      <w:caps/>
    </w:rPr>
  </w:style>
  <w:style w:styleId="Heading2" w:type="paragraph">
    <w:name w:val="heading 2"/>
    <w:basedOn w:val="Normal"/>
    <w:next w:val="Normal"/>
    <w:link w:val="Heading2Char"/>
    <w:uiPriority w:val="9"/>
    <w:unhideWhenUsed/>
    <w:qFormat/>
    <w:rsid w:val="00942B2E"/>
    <w:pPr>
      <w:outlineLvl w:val="1"/>
    </w:pPr>
    <w:rPr>
      <w:b/>
      <w:u w:val="single"/>
    </w:rPr>
  </w:style>
  <w:style w:styleId="Heading3" w:type="paragraph">
    <w:name w:val="heading 3"/>
    <w:basedOn w:val="Normal"/>
    <w:next w:val="BodyText"/>
    <w:link w:val="Heading3Char"/>
    <w:qFormat/>
    <w:rsid w:val="00D751C1"/>
    <w:pPr>
      <w:jc w:val="center"/>
      <w:outlineLvl w:val="2"/>
    </w:pPr>
    <w:rPr>
      <w:b/>
      <w:sz w:val="36"/>
      <w:szCs w:val="36"/>
    </w:rPr>
  </w:style>
  <w:style w:styleId="Heading4" w:type="paragraph">
    <w:name w:val="heading 4"/>
    <w:basedOn w:val="Heading3"/>
    <w:next w:val="Normal"/>
    <w:link w:val="Heading4Char"/>
    <w:uiPriority w:val="9"/>
    <w:unhideWhenUsed/>
    <w:qFormat/>
    <w:rsid w:val="00D751C1"/>
    <w:pPr>
      <w:outlineLvl w:val="3"/>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L1" w:type="paragraph">
    <w:name w:val="L1"/>
    <w:basedOn w:val="Normal"/>
    <w:rsid w:val="006112C8"/>
    <w:pPr>
      <w:overflowPunct w:val="0"/>
      <w:autoSpaceDE w:val="0"/>
      <w:autoSpaceDN w:val="0"/>
      <w:adjustRightInd w:val="0"/>
      <w:ind w:firstLine="288"/>
    </w:pPr>
    <w:rPr>
      <w:rFonts w:ascii="Courier New" w:hAnsi="Courier New"/>
      <w:sz w:val="24"/>
    </w:rPr>
  </w:style>
  <w:style w:customStyle="1" w:styleId="L2" w:type="paragraph">
    <w:name w:val="L2"/>
    <w:basedOn w:val="Normal"/>
    <w:rsid w:val="006112C8"/>
    <w:pPr>
      <w:overflowPunct w:val="0"/>
      <w:autoSpaceDE w:val="0"/>
      <w:autoSpaceDN w:val="0"/>
      <w:adjustRightInd w:val="0"/>
      <w:ind w:firstLine="576"/>
    </w:pPr>
    <w:rPr>
      <w:rFonts w:ascii="Courier New" w:hAnsi="Courier New"/>
      <w:sz w:val="24"/>
    </w:rPr>
  </w:style>
  <w:style w:customStyle="1" w:styleId="section" w:type="character">
    <w:name w:val="section"/>
    <w:basedOn w:val="DefaultParagraphFont"/>
    <w:rsid w:val="006112C8"/>
    <w:rPr>
      <w:rFonts w:ascii="Courier New" w:hAnsi="Courier New"/>
      <w:sz w:val="24"/>
    </w:rPr>
  </w:style>
  <w:style w:customStyle="1" w:styleId="mspace" w:type="character">
    <w:name w:val="mspace"/>
    <w:rsid w:val="006112C8"/>
    <w:rPr>
      <w:rFonts w:ascii="Courier New" w:hAnsi="Courier New"/>
      <w:sz w:val="24"/>
    </w:rPr>
  </w:style>
  <w:style w:customStyle="1" w:styleId="sectioncatch" w:type="character">
    <w:name w:val="sectioncatch"/>
    <w:basedOn w:val="DefaultParagraphFont"/>
    <w:rsid w:val="006112C8"/>
    <w:rPr>
      <w:rFonts w:ascii="Courier New" w:hAnsi="Courier New"/>
      <w:sz w:val="24"/>
    </w:rPr>
  </w:style>
  <w:style w:customStyle="1" w:styleId="body" w:type="character">
    <w:name w:val="body"/>
    <w:rsid w:val="00363949"/>
    <w:rPr>
      <w:rFonts w:ascii="Times New Roman" w:hAnsi="Times New Roman"/>
      <w:szCs w:val="22"/>
    </w:rPr>
  </w:style>
  <w:style w:customStyle="1" w:styleId="subsect" w:type="character">
    <w:name w:val="subsect"/>
    <w:basedOn w:val="DefaultParagraphFont"/>
    <w:rsid w:val="006112C8"/>
    <w:rPr>
      <w:rFonts w:ascii="Courier New" w:hAnsi="Courier New"/>
      <w:sz w:val="24"/>
    </w:rPr>
  </w:style>
  <w:style w:customStyle="1" w:styleId="para" w:type="character">
    <w:name w:val="para"/>
    <w:basedOn w:val="DefaultParagraphFont"/>
    <w:rsid w:val="006112C8"/>
    <w:rPr>
      <w:rFonts w:ascii="Courier New" w:hAnsi="Courier New"/>
      <w:sz w:val="24"/>
    </w:rPr>
  </w:style>
  <w:style w:customStyle="1" w:styleId="L3" w:type="paragraph">
    <w:name w:val="L3"/>
    <w:basedOn w:val="Normal"/>
    <w:rsid w:val="006112C8"/>
    <w:pPr>
      <w:overflowPunct w:val="0"/>
      <w:autoSpaceDE w:val="0"/>
      <w:autoSpaceDN w:val="0"/>
      <w:adjustRightInd w:val="0"/>
      <w:ind w:firstLine="864"/>
      <w:textAlignment w:val="baseline"/>
    </w:pPr>
    <w:rPr>
      <w:rFonts w:ascii="Courier New" w:hAnsi="Courier New"/>
      <w:sz w:val="24"/>
    </w:rPr>
  </w:style>
  <w:style w:customStyle="1" w:styleId="Heading3Char" w:type="character">
    <w:name w:val="Heading 3 Char"/>
    <w:basedOn w:val="DefaultParagraphFont"/>
    <w:link w:val="Heading3"/>
    <w:rsid w:val="00D751C1"/>
    <w:rPr>
      <w:rFonts w:ascii="Times New Roman" w:cs="Times New Roman" w:eastAsia="Times New Roman" w:hAnsi="Times New Roman"/>
      <w:b/>
      <w:sz w:val="36"/>
      <w:szCs w:val="36"/>
    </w:rPr>
  </w:style>
  <w:style w:styleId="BodyText" w:type="paragraph">
    <w:name w:val="Body Text"/>
    <w:basedOn w:val="Normal"/>
    <w:link w:val="BodyTextChar"/>
    <w:uiPriority w:val="99"/>
    <w:semiHidden/>
    <w:unhideWhenUsed/>
    <w:rsid w:val="006112C8"/>
    <w:pPr>
      <w:spacing w:after="120"/>
    </w:pPr>
  </w:style>
  <w:style w:customStyle="1" w:styleId="BodyTextChar" w:type="character">
    <w:name w:val="Body Text Char"/>
    <w:basedOn w:val="DefaultParagraphFont"/>
    <w:link w:val="BodyText"/>
    <w:uiPriority w:val="99"/>
    <w:semiHidden/>
    <w:rsid w:val="006112C8"/>
    <w:rPr>
      <w:rFonts w:ascii="Garamond" w:cs="Times New Roman" w:eastAsia="Times New Roman" w:hAnsi="Garamond"/>
      <w:szCs w:val="20"/>
    </w:rPr>
  </w:style>
  <w:style w:styleId="ListParagraph" w:type="paragraph">
    <w:name w:val="List Paragraph"/>
    <w:basedOn w:val="Normal"/>
    <w:uiPriority w:val="34"/>
    <w:qFormat/>
    <w:rsid w:val="005D5197"/>
    <w:pPr>
      <w:numPr>
        <w:numId w:val="3"/>
      </w:numPr>
      <w:overflowPunct w:val="0"/>
      <w:autoSpaceDE w:val="0"/>
      <w:autoSpaceDN w:val="0"/>
      <w:adjustRightInd w:val="0"/>
      <w:ind w:left="720"/>
      <w:textAlignment w:val="baseline"/>
    </w:pPr>
  </w:style>
  <w:style w:styleId="Header" w:type="paragraph">
    <w:name w:val="header"/>
    <w:basedOn w:val="Normal"/>
    <w:link w:val="HeaderChar"/>
    <w:uiPriority w:val="99"/>
    <w:unhideWhenUsed/>
    <w:rsid w:val="0004182B"/>
    <w:pPr>
      <w:tabs>
        <w:tab w:pos="4680" w:val="center"/>
        <w:tab w:pos="9360" w:val="right"/>
      </w:tabs>
    </w:pPr>
  </w:style>
  <w:style w:customStyle="1" w:styleId="HeaderChar" w:type="character">
    <w:name w:val="Header Char"/>
    <w:basedOn w:val="DefaultParagraphFont"/>
    <w:link w:val="Header"/>
    <w:uiPriority w:val="99"/>
    <w:rsid w:val="0004182B"/>
    <w:rPr>
      <w:rFonts w:ascii="Garamond" w:cs="Times New Roman" w:eastAsia="Times New Roman" w:hAnsi="Garamond"/>
      <w:szCs w:val="20"/>
    </w:rPr>
  </w:style>
  <w:style w:styleId="Footer" w:type="paragraph">
    <w:name w:val="footer"/>
    <w:basedOn w:val="Normal"/>
    <w:link w:val="FooterChar"/>
    <w:uiPriority w:val="99"/>
    <w:unhideWhenUsed/>
    <w:rsid w:val="00D751C1"/>
    <w:pPr>
      <w:tabs>
        <w:tab w:pos="4680" w:val="center"/>
        <w:tab w:pos="9360" w:val="right"/>
      </w:tabs>
      <w:jc w:val="right"/>
    </w:pPr>
  </w:style>
  <w:style w:customStyle="1" w:styleId="FooterChar" w:type="character">
    <w:name w:val="Footer Char"/>
    <w:basedOn w:val="DefaultParagraphFont"/>
    <w:link w:val="Footer"/>
    <w:uiPriority w:val="99"/>
    <w:rsid w:val="00D751C1"/>
    <w:rPr>
      <w:rFonts w:ascii="Garamond" w:cs="Times New Roman" w:eastAsia="Times New Roman" w:hAnsi="Garamond"/>
      <w:szCs w:val="20"/>
    </w:rPr>
  </w:style>
  <w:style w:styleId="BalloonText" w:type="paragraph">
    <w:name w:val="Balloon Text"/>
    <w:basedOn w:val="Normal"/>
    <w:link w:val="BalloonTextChar"/>
    <w:uiPriority w:val="99"/>
    <w:semiHidden/>
    <w:unhideWhenUsed/>
    <w:rsid w:val="007336E8"/>
    <w:rPr>
      <w:rFonts w:ascii="Tahoma" w:cs="Tahoma" w:hAnsi="Tahoma"/>
      <w:sz w:val="16"/>
      <w:szCs w:val="16"/>
    </w:rPr>
  </w:style>
  <w:style w:customStyle="1" w:styleId="BalloonTextChar" w:type="character">
    <w:name w:val="Balloon Text Char"/>
    <w:basedOn w:val="DefaultParagraphFont"/>
    <w:link w:val="BalloonText"/>
    <w:uiPriority w:val="99"/>
    <w:semiHidden/>
    <w:rsid w:val="007336E8"/>
    <w:rPr>
      <w:rFonts w:ascii="Tahoma" w:cs="Tahoma" w:eastAsia="Times New Roman" w:hAnsi="Tahoma"/>
      <w:sz w:val="16"/>
      <w:szCs w:val="16"/>
    </w:rPr>
  </w:style>
  <w:style w:styleId="Hyperlink" w:type="character">
    <w:name w:val="Hyperlink"/>
    <w:basedOn w:val="DefaultParagraphFont"/>
    <w:uiPriority w:val="99"/>
    <w:unhideWhenUsed/>
    <w:qFormat/>
    <w:rsid w:val="00085D6E"/>
    <w:rPr>
      <w:color w:themeColor="hyperlink" w:val="0000FF"/>
      <w:u w:val="single"/>
    </w:rPr>
  </w:style>
  <w:style w:styleId="Title" w:type="paragraph">
    <w:name w:val="Title"/>
    <w:basedOn w:val="Normal"/>
    <w:next w:val="Normal"/>
    <w:link w:val="TitleChar"/>
    <w:uiPriority w:val="10"/>
    <w:qFormat/>
    <w:rsid w:val="006F5E1A"/>
    <w:pPr>
      <w:jc w:val="center"/>
    </w:pPr>
    <w:rPr>
      <w:b/>
      <w:caps/>
      <w:sz w:val="40"/>
      <w:szCs w:val="40"/>
    </w:rPr>
  </w:style>
  <w:style w:customStyle="1" w:styleId="TitleChar" w:type="character">
    <w:name w:val="Title Char"/>
    <w:basedOn w:val="DefaultParagraphFont"/>
    <w:link w:val="Title"/>
    <w:uiPriority w:val="10"/>
    <w:rsid w:val="006F5E1A"/>
    <w:rPr>
      <w:rFonts w:ascii="Times New Roman" w:cs="Times New Roman" w:eastAsia="Times New Roman" w:hAnsi="Times New Roman"/>
      <w:b/>
      <w:caps/>
      <w:sz w:val="40"/>
      <w:szCs w:val="40"/>
    </w:rPr>
  </w:style>
  <w:style w:styleId="Subtitle" w:type="paragraph">
    <w:name w:val="Subtitle"/>
    <w:basedOn w:val="Normal"/>
    <w:next w:val="Normal"/>
    <w:link w:val="SubtitleChar"/>
    <w:uiPriority w:val="11"/>
    <w:qFormat/>
    <w:rsid w:val="006F5E1A"/>
    <w:pPr>
      <w:jc w:val="center"/>
    </w:pPr>
    <w:rPr>
      <w:b/>
      <w:caps/>
    </w:rPr>
  </w:style>
  <w:style w:customStyle="1" w:styleId="SubtitleChar" w:type="character">
    <w:name w:val="Subtitle Char"/>
    <w:basedOn w:val="DefaultParagraphFont"/>
    <w:link w:val="Subtitle"/>
    <w:uiPriority w:val="11"/>
    <w:rsid w:val="006F5E1A"/>
    <w:rPr>
      <w:rFonts w:ascii="Times New Roman" w:cs="Times New Roman" w:eastAsia="Times New Roman" w:hAnsi="Times New Roman"/>
      <w:b/>
      <w:caps/>
    </w:rPr>
  </w:style>
  <w:style w:styleId="SubtleReference" w:type="character">
    <w:name w:val="Subtle Reference"/>
    <w:uiPriority w:val="31"/>
    <w:qFormat/>
    <w:rsid w:val="006F5E1A"/>
    <w:rPr>
      <w:rFonts w:ascii="Times New Roman" w:hAnsi="Times New Roman"/>
      <w:sz w:val="16"/>
      <w:szCs w:val="16"/>
    </w:rPr>
  </w:style>
  <w:style w:styleId="Caption" w:type="paragraph">
    <w:name w:val="caption"/>
    <w:basedOn w:val="Normal"/>
    <w:next w:val="Normal"/>
    <w:uiPriority w:val="35"/>
    <w:unhideWhenUsed/>
    <w:qFormat/>
    <w:rsid w:val="00C36356"/>
    <w:pPr>
      <w:jc w:val="center"/>
    </w:pPr>
    <w:rPr>
      <w:b/>
      <w:sz w:val="16"/>
      <w:szCs w:val="16"/>
    </w:rPr>
  </w:style>
  <w:style w:customStyle="1" w:styleId="Heading1Char" w:type="character">
    <w:name w:val="Heading 1 Char"/>
    <w:basedOn w:val="DefaultParagraphFont"/>
    <w:link w:val="Heading1"/>
    <w:uiPriority w:val="9"/>
    <w:rsid w:val="00942B2E"/>
    <w:rPr>
      <w:rFonts w:ascii="Times New Roman" w:cs="Times New Roman" w:eastAsia="Times New Roman" w:hAnsi="Times New Roman"/>
      <w:b/>
      <w:caps/>
    </w:rPr>
  </w:style>
  <w:style w:styleId="TOC1" w:type="paragraph">
    <w:name w:val="toc 1"/>
    <w:basedOn w:val="Normal"/>
    <w:next w:val="Normal"/>
    <w:autoRedefine/>
    <w:uiPriority w:val="39"/>
    <w:unhideWhenUsed/>
    <w:rsid w:val="00C36356"/>
    <w:pPr>
      <w:tabs>
        <w:tab w:pos="360" w:val="left"/>
        <w:tab w:pos="10080" w:val="right"/>
      </w:tabs>
    </w:pPr>
    <w:rPr>
      <w:b/>
    </w:rPr>
  </w:style>
  <w:style w:styleId="TOC2" w:type="paragraph">
    <w:name w:val="toc 2"/>
    <w:basedOn w:val="Normal"/>
    <w:next w:val="Normal"/>
    <w:autoRedefine/>
    <w:uiPriority w:val="39"/>
    <w:unhideWhenUsed/>
    <w:rsid w:val="00C36356"/>
    <w:pPr>
      <w:tabs>
        <w:tab w:pos="360" w:val="left"/>
        <w:tab w:pos="10080" w:val="right"/>
      </w:tabs>
    </w:pPr>
    <w:rPr>
      <w:b/>
    </w:rPr>
  </w:style>
  <w:style w:styleId="TableofFigures" w:type="paragraph">
    <w:name w:val="table of figures"/>
    <w:basedOn w:val="Normal"/>
    <w:next w:val="Normal"/>
    <w:uiPriority w:val="99"/>
    <w:unhideWhenUsed/>
    <w:rsid w:val="00C36356"/>
    <w:pPr>
      <w:tabs>
        <w:tab w:pos="1080" w:val="left"/>
      </w:tabs>
      <w:ind w:hanging="1080" w:left="1080"/>
    </w:pPr>
  </w:style>
  <w:style w:styleId="TableofAuthorities" w:type="paragraph">
    <w:name w:val="table of authorities"/>
    <w:basedOn w:val="Normal"/>
    <w:next w:val="Normal"/>
    <w:uiPriority w:val="99"/>
    <w:unhideWhenUsed/>
    <w:rsid w:val="00C36356"/>
  </w:style>
  <w:style w:customStyle="1" w:styleId="Heading2Char" w:type="character">
    <w:name w:val="Heading 2 Char"/>
    <w:basedOn w:val="DefaultParagraphFont"/>
    <w:link w:val="Heading2"/>
    <w:uiPriority w:val="9"/>
    <w:rsid w:val="00942B2E"/>
    <w:rPr>
      <w:rFonts w:ascii="Times New Roman" w:cs="Times New Roman" w:eastAsia="Times New Roman" w:hAnsi="Times New Roman"/>
      <w:b/>
      <w:u w:val="single"/>
    </w:rPr>
  </w:style>
  <w:style w:styleId="IntenseEmphasis" w:type="character">
    <w:name w:val="Intense Emphasis"/>
    <w:aliases w:val="Statute Quote"/>
    <w:uiPriority w:val="21"/>
    <w:qFormat/>
    <w:rsid w:val="005D5197"/>
    <w:rPr>
      <w:rFonts w:ascii="Times New Roman" w:hAnsi="Times New Roman"/>
      <w:b/>
      <w:i/>
      <w:szCs w:val="22"/>
    </w:rPr>
  </w:style>
  <w:style w:styleId="Emphasis" w:type="character">
    <w:name w:val="Emphasis"/>
    <w:aliases w:val="Statute QUOTE,A LEVEL"/>
    <w:basedOn w:val="subsect"/>
    <w:uiPriority w:val="20"/>
    <w:qFormat/>
    <w:rsid w:val="00D751C1"/>
    <w:rPr>
      <w:rFonts w:ascii="Times New Roman" w:hAnsi="Times New Roman"/>
      <w:i/>
      <w:sz w:val="22"/>
      <w:szCs w:val="22"/>
    </w:rPr>
  </w:style>
  <w:style w:styleId="SubtleEmphasis" w:type="character">
    <w:name w:val="Subtle Emphasis"/>
    <w:aliases w:val="STATUTE QUOTE SMALL ROMAN NUMERAL"/>
    <w:basedOn w:val="para"/>
    <w:uiPriority w:val="19"/>
    <w:qFormat/>
    <w:rsid w:val="00D751C1"/>
    <w:rPr>
      <w:rFonts w:ascii="Times New Roman" w:hAnsi="Times New Roman"/>
      <w:i/>
      <w:sz w:val="22"/>
      <w:szCs w:val="22"/>
    </w:rPr>
  </w:style>
  <w:style w:customStyle="1" w:styleId="Heading4Char" w:type="character">
    <w:name w:val="Heading 4 Char"/>
    <w:basedOn w:val="DefaultParagraphFont"/>
    <w:link w:val="Heading4"/>
    <w:uiPriority w:val="9"/>
    <w:rsid w:val="00D751C1"/>
    <w:rPr>
      <w:rFonts w:ascii="Times New Roman" w:cs="Times New Roman" w:eastAsia="Times New Roman" w:hAnsi="Times New Roman"/>
      <w:b/>
      <w:sz w:val="36"/>
      <w:szCs w:val="36"/>
    </w:rPr>
  </w:style>
  <w:style w:styleId="Date" w:type="paragraph">
    <w:name w:val="Date"/>
    <w:basedOn w:val="Subtitle"/>
    <w:next w:val="Normal"/>
    <w:link w:val="DateChar"/>
    <w:uiPriority w:val="99"/>
    <w:unhideWhenUsed/>
    <w:rsid w:val="007E39F4"/>
  </w:style>
  <w:style w:customStyle="1" w:styleId="DateChar" w:type="character">
    <w:name w:val="Date Char"/>
    <w:basedOn w:val="DefaultParagraphFont"/>
    <w:link w:val="Date"/>
    <w:uiPriority w:val="99"/>
    <w:rsid w:val="007E39F4"/>
    <w:rPr>
      <w:rFonts w:ascii="Times New Roman" w:cs="Times New Roman" w:eastAsia="Times New Roman" w:hAnsi="Times New Roman"/>
      <w:b/>
      <w:caps/>
    </w:rPr>
  </w:style>
  <w:style w:customStyle="1" w:styleId="Author" w:type="paragraph">
    <w:name w:val="Author"/>
    <w:basedOn w:val="Subtitle"/>
    <w:qFormat/>
    <w:rsid w:val="00A76848"/>
  </w:style>
  <w:style w:customStyle="1" w:styleId="affiliation" w:type="paragraph">
    <w:name w:val="affiliation"/>
    <w:basedOn w:val="Author"/>
    <w:qFormat/>
    <w:rsid w:val="00496828"/>
  </w:style>
  <w:style w:styleId="TOAHeading" w:type="paragraph">
    <w:name w:val="toa heading"/>
    <w:basedOn w:val="Normal"/>
    <w:next w:val="Normal"/>
    <w:uiPriority w:val="99"/>
    <w:unhideWhenUsed/>
    <w:rsid w:val="00997790"/>
    <w:pPr>
      <w:spacing w:before="120"/>
    </w:pPr>
    <w:rPr>
      <w:rFonts w:asciiTheme="majorHAnsi" w:cstheme="majorBidi" w:eastAsiaTheme="majorEastAsia" w:hAnsiTheme="majorHAnsi"/>
      <w:b/>
      <w:bC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dcterms:created xsi:type="dcterms:W3CDTF">2022-08-26T21:27:52Z</dcterms:created>
  <dcterms:modified xsi:type="dcterms:W3CDTF">2022-08-26T21:27:52Z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