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3EC2" w14:textId="77777777" w:rsidR="00DF2EC7" w:rsidRDefault="00000000">
      <w:pPr>
        <w:pStyle w:val="Title"/>
      </w:pPr>
      <w:r>
        <w:t>Interference Investigation Report</w:t>
      </w:r>
    </w:p>
    <w:p w14:paraId="74907A08" w14:textId="77777777" w:rsidR="00DF2EC7" w:rsidRDefault="00000000">
      <w:pPr>
        <w:pStyle w:val="Subtitle"/>
      </w:pPr>
      <w:r>
        <w:br/>
      </w:r>
      <w:r>
        <w:br/>
        <w:t>Gabriel Ruiz</w:t>
      </w:r>
      <w:r>
        <w:br/>
      </w:r>
      <w:r>
        <w:br/>
        <w:t>vs.</w:t>
      </w:r>
      <w:r>
        <w:br/>
      </w:r>
      <w:r>
        <w:br/>
        <w:t>Gross Wilkinson Ranch</w:t>
      </w:r>
      <w:r>
        <w:br/>
      </w:r>
      <w:r>
        <w:br/>
      </w:r>
    </w:p>
    <w:p w14:paraId="65A671C6" w14:textId="77777777" w:rsidR="00DF2EC7" w:rsidRDefault="00000000">
      <w:pPr>
        <w:pStyle w:val="Author"/>
      </w:pPr>
      <w:r>
        <w:t>Ground Water Division</w:t>
      </w:r>
      <w:r>
        <w:br/>
        <w:t>Wyoming State Engineer’s Office</w:t>
      </w:r>
      <w:r>
        <w:br/>
      </w:r>
    </w:p>
    <w:p w14:paraId="3D67B649" w14:textId="77777777" w:rsidR="00DF2EC7" w:rsidRDefault="00000000">
      <w:pPr>
        <w:pStyle w:val="Date"/>
      </w:pPr>
      <w:r>
        <w:t>August 2022</w:t>
      </w:r>
      <w:r>
        <w:br/>
      </w:r>
      <w:r>
        <w:br/>
      </w:r>
      <w:r>
        <w:br/>
      </w:r>
    </w:p>
    <w:sdt>
      <w:sdtPr>
        <w:id w:val="223031300"/>
        <w:docPartObj>
          <w:docPartGallery w:val="Table of Contents"/>
          <w:docPartUnique/>
        </w:docPartObj>
      </w:sdtPr>
      <w:sdtContent>
        <w:p w14:paraId="4EC8E3F0" w14:textId="77777777" w:rsidR="00DF2EC7" w:rsidRDefault="00000000">
          <w:r>
            <w:t>Table of Contents</w:t>
          </w:r>
        </w:p>
        <w:p w14:paraId="0BDD4ABA" w14:textId="77777777" w:rsidR="00C5174F" w:rsidRDefault="00000000">
          <w:pPr>
            <w:pStyle w:val="TOC1"/>
            <w:rPr>
              <w:rFonts w:asciiTheme="minorHAnsi" w:eastAsiaTheme="minorEastAsia" w:hAnsiTheme="minorHAnsi" w:cstheme="minorBidi"/>
              <w:b w:val="0"/>
              <w:noProof/>
            </w:rPr>
          </w:pPr>
          <w:r>
            <w:fldChar w:fldCharType="begin"/>
          </w:r>
          <w:r>
            <w:instrText>TOC \o "1-2" \h \z \u</w:instrText>
          </w:r>
          <w:r>
            <w:fldChar w:fldCharType="separate"/>
          </w:r>
          <w:hyperlink w:anchor="_Toc112854787" w:history="1">
            <w:r w:rsidR="00C5174F" w:rsidRPr="00AF0404">
              <w:rPr>
                <w:rStyle w:val="Hyperlink"/>
                <w:noProof/>
              </w:rPr>
              <w:t>1. Introduction</w:t>
            </w:r>
            <w:r w:rsidR="00C5174F">
              <w:rPr>
                <w:noProof/>
                <w:webHidden/>
              </w:rPr>
              <w:tab/>
            </w:r>
            <w:r w:rsidR="00C5174F">
              <w:rPr>
                <w:noProof/>
                <w:webHidden/>
              </w:rPr>
              <w:fldChar w:fldCharType="begin"/>
            </w:r>
            <w:r w:rsidR="00C5174F">
              <w:rPr>
                <w:noProof/>
                <w:webHidden/>
              </w:rPr>
              <w:instrText xml:space="preserve"> PAGEREF _Toc112854787 \h </w:instrText>
            </w:r>
            <w:r w:rsidR="00C5174F">
              <w:rPr>
                <w:noProof/>
                <w:webHidden/>
              </w:rPr>
            </w:r>
            <w:r w:rsidR="00C5174F">
              <w:rPr>
                <w:noProof/>
                <w:webHidden/>
              </w:rPr>
              <w:fldChar w:fldCharType="separate"/>
            </w:r>
            <w:r w:rsidR="00C5174F">
              <w:rPr>
                <w:noProof/>
                <w:webHidden/>
              </w:rPr>
              <w:t>2</w:t>
            </w:r>
            <w:r w:rsidR="00C5174F">
              <w:rPr>
                <w:noProof/>
                <w:webHidden/>
              </w:rPr>
              <w:fldChar w:fldCharType="end"/>
            </w:r>
          </w:hyperlink>
        </w:p>
        <w:p w14:paraId="4388818F" w14:textId="77777777" w:rsidR="00C5174F" w:rsidRDefault="00C5174F">
          <w:pPr>
            <w:pStyle w:val="TOC2"/>
            <w:rPr>
              <w:rFonts w:asciiTheme="minorHAnsi" w:eastAsiaTheme="minorEastAsia" w:hAnsiTheme="minorHAnsi" w:cstheme="minorBidi"/>
              <w:b w:val="0"/>
              <w:noProof/>
            </w:rPr>
          </w:pPr>
          <w:hyperlink w:anchor="_Toc112854788" w:history="1">
            <w:r w:rsidRPr="00AF0404">
              <w:rPr>
                <w:rStyle w:val="Hyperlink"/>
                <w:noProof/>
              </w:rPr>
              <w:t>1.1 Complaint</w:t>
            </w:r>
            <w:r>
              <w:rPr>
                <w:noProof/>
                <w:webHidden/>
              </w:rPr>
              <w:tab/>
            </w:r>
            <w:r>
              <w:rPr>
                <w:noProof/>
                <w:webHidden/>
              </w:rPr>
              <w:fldChar w:fldCharType="begin"/>
            </w:r>
            <w:r>
              <w:rPr>
                <w:noProof/>
                <w:webHidden/>
              </w:rPr>
              <w:instrText xml:space="preserve"> PAGEREF _Toc112854788 \h </w:instrText>
            </w:r>
            <w:r>
              <w:rPr>
                <w:noProof/>
                <w:webHidden/>
              </w:rPr>
            </w:r>
            <w:r>
              <w:rPr>
                <w:noProof/>
                <w:webHidden/>
              </w:rPr>
              <w:fldChar w:fldCharType="separate"/>
            </w:r>
            <w:r>
              <w:rPr>
                <w:noProof/>
                <w:webHidden/>
              </w:rPr>
              <w:t>2</w:t>
            </w:r>
            <w:r>
              <w:rPr>
                <w:noProof/>
                <w:webHidden/>
              </w:rPr>
              <w:fldChar w:fldCharType="end"/>
            </w:r>
          </w:hyperlink>
        </w:p>
        <w:p w14:paraId="66DF296F" w14:textId="77777777" w:rsidR="00C5174F" w:rsidRDefault="00C5174F">
          <w:pPr>
            <w:pStyle w:val="TOC2"/>
            <w:rPr>
              <w:rFonts w:asciiTheme="minorHAnsi" w:eastAsiaTheme="minorEastAsia" w:hAnsiTheme="minorHAnsi" w:cstheme="minorBidi"/>
              <w:b w:val="0"/>
              <w:noProof/>
            </w:rPr>
          </w:pPr>
          <w:hyperlink w:anchor="_Toc112854789" w:history="1">
            <w:r w:rsidRPr="00AF0404">
              <w:rPr>
                <w:rStyle w:val="Hyperlink"/>
                <w:noProof/>
              </w:rPr>
              <w:t>1.2 Authority</w:t>
            </w:r>
            <w:r>
              <w:rPr>
                <w:noProof/>
                <w:webHidden/>
              </w:rPr>
              <w:tab/>
            </w:r>
            <w:r>
              <w:rPr>
                <w:noProof/>
                <w:webHidden/>
              </w:rPr>
              <w:fldChar w:fldCharType="begin"/>
            </w:r>
            <w:r>
              <w:rPr>
                <w:noProof/>
                <w:webHidden/>
              </w:rPr>
              <w:instrText xml:space="preserve"> PAGEREF _Toc112854789 \h </w:instrText>
            </w:r>
            <w:r>
              <w:rPr>
                <w:noProof/>
                <w:webHidden/>
              </w:rPr>
            </w:r>
            <w:r>
              <w:rPr>
                <w:noProof/>
                <w:webHidden/>
              </w:rPr>
              <w:fldChar w:fldCharType="separate"/>
            </w:r>
            <w:r>
              <w:rPr>
                <w:noProof/>
                <w:webHidden/>
              </w:rPr>
              <w:t>2</w:t>
            </w:r>
            <w:r>
              <w:rPr>
                <w:noProof/>
                <w:webHidden/>
              </w:rPr>
              <w:fldChar w:fldCharType="end"/>
            </w:r>
          </w:hyperlink>
        </w:p>
        <w:p w14:paraId="1A45630A" w14:textId="77777777" w:rsidR="00C5174F" w:rsidRDefault="00C5174F">
          <w:pPr>
            <w:pStyle w:val="TOC2"/>
            <w:rPr>
              <w:rFonts w:asciiTheme="minorHAnsi" w:eastAsiaTheme="minorEastAsia" w:hAnsiTheme="minorHAnsi" w:cstheme="minorBidi"/>
              <w:b w:val="0"/>
              <w:noProof/>
            </w:rPr>
          </w:pPr>
          <w:hyperlink w:anchor="_Toc112854790" w:history="1">
            <w:r w:rsidRPr="00AF0404">
              <w:rPr>
                <w:rStyle w:val="Hyperlink"/>
                <w:noProof/>
              </w:rPr>
              <w:t>1.3 Water Rights</w:t>
            </w:r>
            <w:r>
              <w:rPr>
                <w:noProof/>
                <w:webHidden/>
              </w:rPr>
              <w:tab/>
            </w:r>
            <w:r>
              <w:rPr>
                <w:noProof/>
                <w:webHidden/>
              </w:rPr>
              <w:fldChar w:fldCharType="begin"/>
            </w:r>
            <w:r>
              <w:rPr>
                <w:noProof/>
                <w:webHidden/>
              </w:rPr>
              <w:instrText xml:space="preserve"> PAGEREF _Toc112854790 \h </w:instrText>
            </w:r>
            <w:r>
              <w:rPr>
                <w:noProof/>
                <w:webHidden/>
              </w:rPr>
            </w:r>
            <w:r>
              <w:rPr>
                <w:noProof/>
                <w:webHidden/>
              </w:rPr>
              <w:fldChar w:fldCharType="separate"/>
            </w:r>
            <w:r>
              <w:rPr>
                <w:noProof/>
                <w:webHidden/>
              </w:rPr>
              <w:t>4</w:t>
            </w:r>
            <w:r>
              <w:rPr>
                <w:noProof/>
                <w:webHidden/>
              </w:rPr>
              <w:fldChar w:fldCharType="end"/>
            </w:r>
          </w:hyperlink>
        </w:p>
        <w:p w14:paraId="72F536B2" w14:textId="77777777" w:rsidR="00C5174F" w:rsidRDefault="00C5174F">
          <w:pPr>
            <w:pStyle w:val="TOC1"/>
            <w:rPr>
              <w:rFonts w:asciiTheme="minorHAnsi" w:eastAsiaTheme="minorEastAsia" w:hAnsiTheme="minorHAnsi" w:cstheme="minorBidi"/>
              <w:b w:val="0"/>
              <w:noProof/>
            </w:rPr>
          </w:pPr>
          <w:hyperlink w:anchor="_Toc112854791" w:history="1">
            <w:r w:rsidRPr="00AF0404">
              <w:rPr>
                <w:rStyle w:val="Hyperlink"/>
                <w:noProof/>
              </w:rPr>
              <w:t>2. Geologic and Hydrogeologic Overview</w:t>
            </w:r>
            <w:r>
              <w:rPr>
                <w:noProof/>
                <w:webHidden/>
              </w:rPr>
              <w:tab/>
            </w:r>
            <w:r>
              <w:rPr>
                <w:noProof/>
                <w:webHidden/>
              </w:rPr>
              <w:fldChar w:fldCharType="begin"/>
            </w:r>
            <w:r>
              <w:rPr>
                <w:noProof/>
                <w:webHidden/>
              </w:rPr>
              <w:instrText xml:space="preserve"> PAGEREF _Toc112854791 \h </w:instrText>
            </w:r>
            <w:r>
              <w:rPr>
                <w:noProof/>
                <w:webHidden/>
              </w:rPr>
            </w:r>
            <w:r>
              <w:rPr>
                <w:noProof/>
                <w:webHidden/>
              </w:rPr>
              <w:fldChar w:fldCharType="separate"/>
            </w:r>
            <w:r>
              <w:rPr>
                <w:noProof/>
                <w:webHidden/>
              </w:rPr>
              <w:t>5</w:t>
            </w:r>
            <w:r>
              <w:rPr>
                <w:noProof/>
                <w:webHidden/>
              </w:rPr>
              <w:fldChar w:fldCharType="end"/>
            </w:r>
          </w:hyperlink>
        </w:p>
        <w:p w14:paraId="4440301E" w14:textId="77777777" w:rsidR="00C5174F" w:rsidRDefault="00C5174F">
          <w:pPr>
            <w:pStyle w:val="TOC2"/>
            <w:rPr>
              <w:rFonts w:asciiTheme="minorHAnsi" w:eastAsiaTheme="minorEastAsia" w:hAnsiTheme="minorHAnsi" w:cstheme="minorBidi"/>
              <w:b w:val="0"/>
              <w:noProof/>
            </w:rPr>
          </w:pPr>
          <w:hyperlink w:anchor="_Toc112854792" w:history="1">
            <w:r w:rsidRPr="00AF0404">
              <w:rPr>
                <w:rStyle w:val="Hyperlink"/>
                <w:noProof/>
              </w:rPr>
              <w:t>2.1 Stratigraphy</w:t>
            </w:r>
            <w:r>
              <w:rPr>
                <w:noProof/>
                <w:webHidden/>
              </w:rPr>
              <w:tab/>
            </w:r>
            <w:r>
              <w:rPr>
                <w:noProof/>
                <w:webHidden/>
              </w:rPr>
              <w:fldChar w:fldCharType="begin"/>
            </w:r>
            <w:r>
              <w:rPr>
                <w:noProof/>
                <w:webHidden/>
              </w:rPr>
              <w:instrText xml:space="preserve"> PAGEREF _Toc112854792 \h </w:instrText>
            </w:r>
            <w:r>
              <w:rPr>
                <w:noProof/>
                <w:webHidden/>
              </w:rPr>
            </w:r>
            <w:r>
              <w:rPr>
                <w:noProof/>
                <w:webHidden/>
              </w:rPr>
              <w:fldChar w:fldCharType="separate"/>
            </w:r>
            <w:r>
              <w:rPr>
                <w:noProof/>
                <w:webHidden/>
              </w:rPr>
              <w:t>5</w:t>
            </w:r>
            <w:r>
              <w:rPr>
                <w:noProof/>
                <w:webHidden/>
              </w:rPr>
              <w:fldChar w:fldCharType="end"/>
            </w:r>
          </w:hyperlink>
        </w:p>
        <w:p w14:paraId="6D82C6A3" w14:textId="77777777" w:rsidR="00C5174F" w:rsidRDefault="00C5174F">
          <w:pPr>
            <w:pStyle w:val="TOC2"/>
            <w:rPr>
              <w:rFonts w:asciiTheme="minorHAnsi" w:eastAsiaTheme="minorEastAsia" w:hAnsiTheme="minorHAnsi" w:cstheme="minorBidi"/>
              <w:b w:val="0"/>
              <w:noProof/>
            </w:rPr>
          </w:pPr>
          <w:hyperlink w:anchor="_Toc112854793" w:history="1">
            <w:r w:rsidRPr="00AF0404">
              <w:rPr>
                <w:rStyle w:val="Hyperlink"/>
                <w:noProof/>
              </w:rPr>
              <w:t>2.2 Hydrogeology</w:t>
            </w:r>
            <w:r>
              <w:rPr>
                <w:noProof/>
                <w:webHidden/>
              </w:rPr>
              <w:tab/>
            </w:r>
            <w:r>
              <w:rPr>
                <w:noProof/>
                <w:webHidden/>
              </w:rPr>
              <w:fldChar w:fldCharType="begin"/>
            </w:r>
            <w:r>
              <w:rPr>
                <w:noProof/>
                <w:webHidden/>
              </w:rPr>
              <w:instrText xml:space="preserve"> PAGEREF _Toc112854793 \h </w:instrText>
            </w:r>
            <w:r>
              <w:rPr>
                <w:noProof/>
                <w:webHidden/>
              </w:rPr>
            </w:r>
            <w:r>
              <w:rPr>
                <w:noProof/>
                <w:webHidden/>
              </w:rPr>
              <w:fldChar w:fldCharType="separate"/>
            </w:r>
            <w:r>
              <w:rPr>
                <w:noProof/>
                <w:webHidden/>
              </w:rPr>
              <w:t>5</w:t>
            </w:r>
            <w:r>
              <w:rPr>
                <w:noProof/>
                <w:webHidden/>
              </w:rPr>
              <w:fldChar w:fldCharType="end"/>
            </w:r>
          </w:hyperlink>
        </w:p>
        <w:p w14:paraId="4D0B4FF4" w14:textId="77777777" w:rsidR="00C5174F" w:rsidRDefault="00C5174F">
          <w:pPr>
            <w:pStyle w:val="TOC1"/>
            <w:rPr>
              <w:rFonts w:asciiTheme="minorHAnsi" w:eastAsiaTheme="minorEastAsia" w:hAnsiTheme="minorHAnsi" w:cstheme="minorBidi"/>
              <w:b w:val="0"/>
              <w:noProof/>
            </w:rPr>
          </w:pPr>
          <w:hyperlink w:anchor="_Toc112854794" w:history="1">
            <w:r w:rsidRPr="00AF0404">
              <w:rPr>
                <w:rStyle w:val="Hyperlink"/>
                <w:noProof/>
              </w:rPr>
              <w:t>3. Horse Creek Order</w:t>
            </w:r>
            <w:r>
              <w:rPr>
                <w:noProof/>
                <w:webHidden/>
              </w:rPr>
              <w:tab/>
            </w:r>
            <w:r>
              <w:rPr>
                <w:noProof/>
                <w:webHidden/>
              </w:rPr>
              <w:fldChar w:fldCharType="begin"/>
            </w:r>
            <w:r>
              <w:rPr>
                <w:noProof/>
                <w:webHidden/>
              </w:rPr>
              <w:instrText xml:space="preserve"> PAGEREF _Toc112854794 \h </w:instrText>
            </w:r>
            <w:r>
              <w:rPr>
                <w:noProof/>
                <w:webHidden/>
              </w:rPr>
            </w:r>
            <w:r>
              <w:rPr>
                <w:noProof/>
                <w:webHidden/>
              </w:rPr>
              <w:fldChar w:fldCharType="separate"/>
            </w:r>
            <w:r>
              <w:rPr>
                <w:noProof/>
                <w:webHidden/>
              </w:rPr>
              <w:t>7</w:t>
            </w:r>
            <w:r>
              <w:rPr>
                <w:noProof/>
                <w:webHidden/>
              </w:rPr>
              <w:fldChar w:fldCharType="end"/>
            </w:r>
          </w:hyperlink>
        </w:p>
        <w:p w14:paraId="46071D7B" w14:textId="77777777" w:rsidR="00C5174F" w:rsidRDefault="00C5174F">
          <w:pPr>
            <w:pStyle w:val="TOC1"/>
            <w:rPr>
              <w:rFonts w:asciiTheme="minorHAnsi" w:eastAsiaTheme="minorEastAsia" w:hAnsiTheme="minorHAnsi" w:cstheme="minorBidi"/>
              <w:b w:val="0"/>
              <w:noProof/>
            </w:rPr>
          </w:pPr>
          <w:hyperlink w:anchor="_Toc112854795" w:history="1">
            <w:r w:rsidRPr="00AF0404">
              <w:rPr>
                <w:rStyle w:val="Hyperlink"/>
                <w:noProof/>
              </w:rPr>
              <w:t>4. Data and Analysis</w:t>
            </w:r>
            <w:r>
              <w:rPr>
                <w:noProof/>
                <w:webHidden/>
              </w:rPr>
              <w:tab/>
            </w:r>
            <w:r>
              <w:rPr>
                <w:noProof/>
                <w:webHidden/>
              </w:rPr>
              <w:fldChar w:fldCharType="begin"/>
            </w:r>
            <w:r>
              <w:rPr>
                <w:noProof/>
                <w:webHidden/>
              </w:rPr>
              <w:instrText xml:space="preserve"> PAGEREF _Toc112854795 \h </w:instrText>
            </w:r>
            <w:r>
              <w:rPr>
                <w:noProof/>
                <w:webHidden/>
              </w:rPr>
            </w:r>
            <w:r>
              <w:rPr>
                <w:noProof/>
                <w:webHidden/>
              </w:rPr>
              <w:fldChar w:fldCharType="separate"/>
            </w:r>
            <w:r>
              <w:rPr>
                <w:noProof/>
                <w:webHidden/>
              </w:rPr>
              <w:t>8</w:t>
            </w:r>
            <w:r>
              <w:rPr>
                <w:noProof/>
                <w:webHidden/>
              </w:rPr>
              <w:fldChar w:fldCharType="end"/>
            </w:r>
          </w:hyperlink>
        </w:p>
        <w:p w14:paraId="1A02C95C" w14:textId="77777777" w:rsidR="00C5174F" w:rsidRDefault="00C5174F">
          <w:pPr>
            <w:pStyle w:val="TOC2"/>
            <w:rPr>
              <w:rFonts w:asciiTheme="minorHAnsi" w:eastAsiaTheme="minorEastAsia" w:hAnsiTheme="minorHAnsi" w:cstheme="minorBidi"/>
              <w:b w:val="0"/>
              <w:noProof/>
            </w:rPr>
          </w:pPr>
          <w:hyperlink w:anchor="_Toc112854796" w:history="1">
            <w:r w:rsidRPr="00AF0404">
              <w:rPr>
                <w:rStyle w:val="Hyperlink"/>
                <w:noProof/>
              </w:rPr>
              <w:t>4.1 Groundwater Level Data</w:t>
            </w:r>
            <w:r>
              <w:rPr>
                <w:noProof/>
                <w:webHidden/>
              </w:rPr>
              <w:tab/>
            </w:r>
            <w:r>
              <w:rPr>
                <w:noProof/>
                <w:webHidden/>
              </w:rPr>
              <w:fldChar w:fldCharType="begin"/>
            </w:r>
            <w:r>
              <w:rPr>
                <w:noProof/>
                <w:webHidden/>
              </w:rPr>
              <w:instrText xml:space="preserve"> PAGEREF _Toc112854796 \h </w:instrText>
            </w:r>
            <w:r>
              <w:rPr>
                <w:noProof/>
                <w:webHidden/>
              </w:rPr>
            </w:r>
            <w:r>
              <w:rPr>
                <w:noProof/>
                <w:webHidden/>
              </w:rPr>
              <w:fldChar w:fldCharType="separate"/>
            </w:r>
            <w:r>
              <w:rPr>
                <w:noProof/>
                <w:webHidden/>
              </w:rPr>
              <w:t>8</w:t>
            </w:r>
            <w:r>
              <w:rPr>
                <w:noProof/>
                <w:webHidden/>
              </w:rPr>
              <w:fldChar w:fldCharType="end"/>
            </w:r>
          </w:hyperlink>
        </w:p>
        <w:p w14:paraId="77F38172" w14:textId="77777777" w:rsidR="00C5174F" w:rsidRDefault="00C5174F">
          <w:pPr>
            <w:pStyle w:val="TOC2"/>
            <w:rPr>
              <w:rFonts w:asciiTheme="minorHAnsi" w:eastAsiaTheme="minorEastAsia" w:hAnsiTheme="minorHAnsi" w:cstheme="minorBidi"/>
              <w:b w:val="0"/>
              <w:noProof/>
            </w:rPr>
          </w:pPr>
          <w:hyperlink w:anchor="_Toc112854797" w:history="1">
            <w:r w:rsidRPr="00AF0404">
              <w:rPr>
                <w:rStyle w:val="Hyperlink"/>
                <w:noProof/>
              </w:rPr>
              <w:t>4.2 Groundwater Production Data</w:t>
            </w:r>
            <w:r>
              <w:rPr>
                <w:noProof/>
                <w:webHidden/>
              </w:rPr>
              <w:tab/>
            </w:r>
            <w:r>
              <w:rPr>
                <w:noProof/>
                <w:webHidden/>
              </w:rPr>
              <w:fldChar w:fldCharType="begin"/>
            </w:r>
            <w:r>
              <w:rPr>
                <w:noProof/>
                <w:webHidden/>
              </w:rPr>
              <w:instrText xml:space="preserve"> PAGEREF _Toc112854797 \h </w:instrText>
            </w:r>
            <w:r>
              <w:rPr>
                <w:noProof/>
                <w:webHidden/>
              </w:rPr>
            </w:r>
            <w:r>
              <w:rPr>
                <w:noProof/>
                <w:webHidden/>
              </w:rPr>
              <w:fldChar w:fldCharType="separate"/>
            </w:r>
            <w:r>
              <w:rPr>
                <w:noProof/>
                <w:webHidden/>
              </w:rPr>
              <w:t>8</w:t>
            </w:r>
            <w:r>
              <w:rPr>
                <w:noProof/>
                <w:webHidden/>
              </w:rPr>
              <w:fldChar w:fldCharType="end"/>
            </w:r>
          </w:hyperlink>
        </w:p>
        <w:p w14:paraId="53B9E700" w14:textId="77777777" w:rsidR="00C5174F" w:rsidRDefault="00C5174F">
          <w:pPr>
            <w:pStyle w:val="TOC2"/>
            <w:rPr>
              <w:rFonts w:asciiTheme="minorHAnsi" w:eastAsiaTheme="minorEastAsia" w:hAnsiTheme="minorHAnsi" w:cstheme="minorBidi"/>
              <w:b w:val="0"/>
              <w:noProof/>
            </w:rPr>
          </w:pPr>
          <w:hyperlink w:anchor="_Toc112854798" w:history="1">
            <w:r w:rsidRPr="00AF0404">
              <w:rPr>
                <w:rStyle w:val="Hyperlink"/>
                <w:noProof/>
              </w:rPr>
              <w:t>4.3 Estimated Theroetical Cones of Depression</w:t>
            </w:r>
            <w:r>
              <w:rPr>
                <w:noProof/>
                <w:webHidden/>
              </w:rPr>
              <w:tab/>
            </w:r>
            <w:r>
              <w:rPr>
                <w:noProof/>
                <w:webHidden/>
              </w:rPr>
              <w:fldChar w:fldCharType="begin"/>
            </w:r>
            <w:r>
              <w:rPr>
                <w:noProof/>
                <w:webHidden/>
              </w:rPr>
              <w:instrText xml:space="preserve"> PAGEREF _Toc112854798 \h </w:instrText>
            </w:r>
            <w:r>
              <w:rPr>
                <w:noProof/>
                <w:webHidden/>
              </w:rPr>
            </w:r>
            <w:r>
              <w:rPr>
                <w:noProof/>
                <w:webHidden/>
              </w:rPr>
              <w:fldChar w:fldCharType="separate"/>
            </w:r>
            <w:r>
              <w:rPr>
                <w:noProof/>
                <w:webHidden/>
              </w:rPr>
              <w:t>8</w:t>
            </w:r>
            <w:r>
              <w:rPr>
                <w:noProof/>
                <w:webHidden/>
              </w:rPr>
              <w:fldChar w:fldCharType="end"/>
            </w:r>
          </w:hyperlink>
        </w:p>
        <w:p w14:paraId="1DDFDD1E" w14:textId="77777777" w:rsidR="00C5174F" w:rsidRDefault="00C5174F">
          <w:pPr>
            <w:pStyle w:val="TOC1"/>
            <w:rPr>
              <w:rFonts w:asciiTheme="minorHAnsi" w:eastAsiaTheme="minorEastAsia" w:hAnsiTheme="minorHAnsi" w:cstheme="minorBidi"/>
              <w:b w:val="0"/>
              <w:noProof/>
            </w:rPr>
          </w:pPr>
          <w:hyperlink w:anchor="_Toc112854799" w:history="1">
            <w:r w:rsidRPr="00AF0404">
              <w:rPr>
                <w:rStyle w:val="Hyperlink"/>
                <w:noProof/>
              </w:rPr>
              <w:t>5. Options</w:t>
            </w:r>
            <w:r>
              <w:rPr>
                <w:noProof/>
                <w:webHidden/>
              </w:rPr>
              <w:tab/>
            </w:r>
            <w:r>
              <w:rPr>
                <w:noProof/>
                <w:webHidden/>
              </w:rPr>
              <w:fldChar w:fldCharType="begin"/>
            </w:r>
            <w:r>
              <w:rPr>
                <w:noProof/>
                <w:webHidden/>
              </w:rPr>
              <w:instrText xml:space="preserve"> PAGEREF _Toc112854799 \h </w:instrText>
            </w:r>
            <w:r>
              <w:rPr>
                <w:noProof/>
                <w:webHidden/>
              </w:rPr>
            </w:r>
            <w:r>
              <w:rPr>
                <w:noProof/>
                <w:webHidden/>
              </w:rPr>
              <w:fldChar w:fldCharType="separate"/>
            </w:r>
            <w:r>
              <w:rPr>
                <w:noProof/>
                <w:webHidden/>
              </w:rPr>
              <w:t>10</w:t>
            </w:r>
            <w:r>
              <w:rPr>
                <w:noProof/>
                <w:webHidden/>
              </w:rPr>
              <w:fldChar w:fldCharType="end"/>
            </w:r>
          </w:hyperlink>
        </w:p>
        <w:p w14:paraId="303293E1" w14:textId="77777777" w:rsidR="00C5174F" w:rsidRDefault="00C5174F">
          <w:pPr>
            <w:pStyle w:val="TOC2"/>
            <w:rPr>
              <w:rFonts w:asciiTheme="minorHAnsi" w:eastAsiaTheme="minorEastAsia" w:hAnsiTheme="minorHAnsi" w:cstheme="minorBidi"/>
              <w:b w:val="0"/>
              <w:noProof/>
            </w:rPr>
          </w:pPr>
          <w:hyperlink w:anchor="_Toc112854800" w:history="1">
            <w:r w:rsidRPr="00AF0404">
              <w:rPr>
                <w:rStyle w:val="Hyperlink"/>
                <w:noProof/>
              </w:rPr>
              <w:t>5.1 No Regulation</w:t>
            </w:r>
            <w:r>
              <w:rPr>
                <w:noProof/>
                <w:webHidden/>
              </w:rPr>
              <w:tab/>
            </w:r>
            <w:r>
              <w:rPr>
                <w:noProof/>
                <w:webHidden/>
              </w:rPr>
              <w:fldChar w:fldCharType="begin"/>
            </w:r>
            <w:r>
              <w:rPr>
                <w:noProof/>
                <w:webHidden/>
              </w:rPr>
              <w:instrText xml:space="preserve"> PAGEREF _Toc112854800 \h </w:instrText>
            </w:r>
            <w:r>
              <w:rPr>
                <w:noProof/>
                <w:webHidden/>
              </w:rPr>
            </w:r>
            <w:r>
              <w:rPr>
                <w:noProof/>
                <w:webHidden/>
              </w:rPr>
              <w:fldChar w:fldCharType="separate"/>
            </w:r>
            <w:r>
              <w:rPr>
                <w:noProof/>
                <w:webHidden/>
              </w:rPr>
              <w:t>10</w:t>
            </w:r>
            <w:r>
              <w:rPr>
                <w:noProof/>
                <w:webHidden/>
              </w:rPr>
              <w:fldChar w:fldCharType="end"/>
            </w:r>
          </w:hyperlink>
        </w:p>
        <w:p w14:paraId="1F5FD942" w14:textId="77777777" w:rsidR="00C5174F" w:rsidRDefault="00C5174F">
          <w:pPr>
            <w:pStyle w:val="TOC2"/>
            <w:rPr>
              <w:rFonts w:asciiTheme="minorHAnsi" w:eastAsiaTheme="minorEastAsia" w:hAnsiTheme="minorHAnsi" w:cstheme="minorBidi"/>
              <w:b w:val="0"/>
              <w:noProof/>
            </w:rPr>
          </w:pPr>
          <w:hyperlink w:anchor="_Toc112854801" w:history="1">
            <w:r w:rsidRPr="00AF0404">
              <w:rPr>
                <w:rStyle w:val="Hyperlink"/>
                <w:noProof/>
              </w:rPr>
              <w:t>5.2 Require use of water by Sherard No. 6 before interference can be claimed</w:t>
            </w:r>
            <w:r>
              <w:rPr>
                <w:noProof/>
                <w:webHidden/>
              </w:rPr>
              <w:tab/>
            </w:r>
            <w:r>
              <w:rPr>
                <w:noProof/>
                <w:webHidden/>
              </w:rPr>
              <w:fldChar w:fldCharType="begin"/>
            </w:r>
            <w:r>
              <w:rPr>
                <w:noProof/>
                <w:webHidden/>
              </w:rPr>
              <w:instrText xml:space="preserve"> PAGEREF _Toc112854801 \h </w:instrText>
            </w:r>
            <w:r>
              <w:rPr>
                <w:noProof/>
                <w:webHidden/>
              </w:rPr>
            </w:r>
            <w:r>
              <w:rPr>
                <w:noProof/>
                <w:webHidden/>
              </w:rPr>
              <w:fldChar w:fldCharType="separate"/>
            </w:r>
            <w:r>
              <w:rPr>
                <w:noProof/>
                <w:webHidden/>
              </w:rPr>
              <w:t>10</w:t>
            </w:r>
            <w:r>
              <w:rPr>
                <w:noProof/>
                <w:webHidden/>
              </w:rPr>
              <w:fldChar w:fldCharType="end"/>
            </w:r>
          </w:hyperlink>
        </w:p>
        <w:p w14:paraId="3B1E8D7F" w14:textId="77777777" w:rsidR="00C5174F" w:rsidRDefault="00C5174F">
          <w:pPr>
            <w:pStyle w:val="TOC2"/>
            <w:rPr>
              <w:rFonts w:asciiTheme="minorHAnsi" w:eastAsiaTheme="minorEastAsia" w:hAnsiTheme="minorHAnsi" w:cstheme="minorBidi"/>
              <w:b w:val="0"/>
              <w:noProof/>
            </w:rPr>
          </w:pPr>
          <w:hyperlink w:anchor="_Toc112854802" w:history="1">
            <w:r w:rsidRPr="00AF0404">
              <w:rPr>
                <w:rStyle w:val="Hyperlink"/>
                <w:noProof/>
              </w:rPr>
              <w:t>5.3 Furnishment of water at the expense of the junior appropriator</w:t>
            </w:r>
            <w:r>
              <w:rPr>
                <w:noProof/>
                <w:webHidden/>
              </w:rPr>
              <w:tab/>
            </w:r>
            <w:r>
              <w:rPr>
                <w:noProof/>
                <w:webHidden/>
              </w:rPr>
              <w:fldChar w:fldCharType="begin"/>
            </w:r>
            <w:r>
              <w:rPr>
                <w:noProof/>
                <w:webHidden/>
              </w:rPr>
              <w:instrText xml:space="preserve"> PAGEREF _Toc112854802 \h </w:instrText>
            </w:r>
            <w:r>
              <w:rPr>
                <w:noProof/>
                <w:webHidden/>
              </w:rPr>
            </w:r>
            <w:r>
              <w:rPr>
                <w:noProof/>
                <w:webHidden/>
              </w:rPr>
              <w:fldChar w:fldCharType="separate"/>
            </w:r>
            <w:r>
              <w:rPr>
                <w:noProof/>
                <w:webHidden/>
              </w:rPr>
              <w:t>10</w:t>
            </w:r>
            <w:r>
              <w:rPr>
                <w:noProof/>
                <w:webHidden/>
              </w:rPr>
              <w:fldChar w:fldCharType="end"/>
            </w:r>
          </w:hyperlink>
        </w:p>
        <w:p w14:paraId="1E2716C8" w14:textId="77777777" w:rsidR="00C5174F" w:rsidRDefault="00C5174F">
          <w:pPr>
            <w:pStyle w:val="TOC2"/>
            <w:rPr>
              <w:rFonts w:asciiTheme="minorHAnsi" w:eastAsiaTheme="minorEastAsia" w:hAnsiTheme="minorHAnsi" w:cstheme="minorBidi"/>
              <w:b w:val="0"/>
              <w:noProof/>
            </w:rPr>
          </w:pPr>
          <w:hyperlink w:anchor="_Toc112854803" w:history="1">
            <w:r w:rsidRPr="00AF0404">
              <w:rPr>
                <w:rStyle w:val="Hyperlink"/>
                <w:noProof/>
              </w:rPr>
              <w:t>5.4 Curtailment of production from Bill Ward No. 2 to a “reasonable” level of interference</w:t>
            </w:r>
            <w:r>
              <w:rPr>
                <w:noProof/>
                <w:webHidden/>
              </w:rPr>
              <w:tab/>
            </w:r>
            <w:r>
              <w:rPr>
                <w:noProof/>
                <w:webHidden/>
              </w:rPr>
              <w:fldChar w:fldCharType="begin"/>
            </w:r>
            <w:r>
              <w:rPr>
                <w:noProof/>
                <w:webHidden/>
              </w:rPr>
              <w:instrText xml:space="preserve"> PAGEREF _Toc112854803 \h </w:instrText>
            </w:r>
            <w:r>
              <w:rPr>
                <w:noProof/>
                <w:webHidden/>
              </w:rPr>
            </w:r>
            <w:r>
              <w:rPr>
                <w:noProof/>
                <w:webHidden/>
              </w:rPr>
              <w:fldChar w:fldCharType="separate"/>
            </w:r>
            <w:r>
              <w:rPr>
                <w:noProof/>
                <w:webHidden/>
              </w:rPr>
              <w:t>10</w:t>
            </w:r>
            <w:r>
              <w:rPr>
                <w:noProof/>
                <w:webHidden/>
              </w:rPr>
              <w:fldChar w:fldCharType="end"/>
            </w:r>
          </w:hyperlink>
        </w:p>
        <w:p w14:paraId="5CA1C1BC" w14:textId="77777777" w:rsidR="00C5174F" w:rsidRDefault="00C5174F">
          <w:pPr>
            <w:pStyle w:val="TOC2"/>
            <w:rPr>
              <w:rFonts w:asciiTheme="minorHAnsi" w:eastAsiaTheme="minorEastAsia" w:hAnsiTheme="minorHAnsi" w:cstheme="minorBidi"/>
              <w:b w:val="0"/>
              <w:noProof/>
            </w:rPr>
          </w:pPr>
          <w:hyperlink w:anchor="_Toc112854804" w:history="1">
            <w:r w:rsidRPr="00AF0404">
              <w:rPr>
                <w:rStyle w:val="Hyperlink"/>
                <w:noProof/>
              </w:rPr>
              <w:t>5.5 User Agreement</w:t>
            </w:r>
            <w:r>
              <w:rPr>
                <w:noProof/>
                <w:webHidden/>
              </w:rPr>
              <w:tab/>
            </w:r>
            <w:r>
              <w:rPr>
                <w:noProof/>
                <w:webHidden/>
              </w:rPr>
              <w:fldChar w:fldCharType="begin"/>
            </w:r>
            <w:r>
              <w:rPr>
                <w:noProof/>
                <w:webHidden/>
              </w:rPr>
              <w:instrText xml:space="preserve"> PAGEREF _Toc112854804 \h </w:instrText>
            </w:r>
            <w:r>
              <w:rPr>
                <w:noProof/>
                <w:webHidden/>
              </w:rPr>
            </w:r>
            <w:r>
              <w:rPr>
                <w:noProof/>
                <w:webHidden/>
              </w:rPr>
              <w:fldChar w:fldCharType="separate"/>
            </w:r>
            <w:r>
              <w:rPr>
                <w:noProof/>
                <w:webHidden/>
              </w:rPr>
              <w:t>10</w:t>
            </w:r>
            <w:r>
              <w:rPr>
                <w:noProof/>
                <w:webHidden/>
              </w:rPr>
              <w:fldChar w:fldCharType="end"/>
            </w:r>
          </w:hyperlink>
        </w:p>
        <w:p w14:paraId="44922349" w14:textId="77777777" w:rsidR="00C5174F" w:rsidRDefault="00C5174F">
          <w:pPr>
            <w:pStyle w:val="TOC2"/>
            <w:rPr>
              <w:rFonts w:asciiTheme="minorHAnsi" w:eastAsiaTheme="minorEastAsia" w:hAnsiTheme="minorHAnsi" w:cstheme="minorBidi"/>
              <w:b w:val="0"/>
              <w:noProof/>
            </w:rPr>
          </w:pPr>
          <w:hyperlink w:anchor="_Toc112854805" w:history="1">
            <w:r w:rsidRPr="00AF0404">
              <w:rPr>
                <w:rStyle w:val="Hyperlink"/>
                <w:noProof/>
              </w:rPr>
              <w:t>5.6 Rotation</w:t>
            </w:r>
            <w:r>
              <w:rPr>
                <w:noProof/>
                <w:webHidden/>
              </w:rPr>
              <w:tab/>
            </w:r>
            <w:r>
              <w:rPr>
                <w:noProof/>
                <w:webHidden/>
              </w:rPr>
              <w:fldChar w:fldCharType="begin"/>
            </w:r>
            <w:r>
              <w:rPr>
                <w:noProof/>
                <w:webHidden/>
              </w:rPr>
              <w:instrText xml:space="preserve"> PAGEREF _Toc112854805 \h </w:instrText>
            </w:r>
            <w:r>
              <w:rPr>
                <w:noProof/>
                <w:webHidden/>
              </w:rPr>
            </w:r>
            <w:r>
              <w:rPr>
                <w:noProof/>
                <w:webHidden/>
              </w:rPr>
              <w:fldChar w:fldCharType="separate"/>
            </w:r>
            <w:r>
              <w:rPr>
                <w:noProof/>
                <w:webHidden/>
              </w:rPr>
              <w:t>11</w:t>
            </w:r>
            <w:r>
              <w:rPr>
                <w:noProof/>
                <w:webHidden/>
              </w:rPr>
              <w:fldChar w:fldCharType="end"/>
            </w:r>
          </w:hyperlink>
        </w:p>
        <w:p w14:paraId="35608721" w14:textId="77777777" w:rsidR="00C5174F" w:rsidRDefault="00C5174F">
          <w:pPr>
            <w:pStyle w:val="TOC2"/>
            <w:rPr>
              <w:rFonts w:asciiTheme="minorHAnsi" w:eastAsiaTheme="minorEastAsia" w:hAnsiTheme="minorHAnsi" w:cstheme="minorBidi"/>
              <w:b w:val="0"/>
              <w:noProof/>
            </w:rPr>
          </w:pPr>
          <w:hyperlink w:anchor="_Toc112854806" w:history="1">
            <w:r w:rsidRPr="00AF0404">
              <w:rPr>
                <w:rStyle w:val="Hyperlink"/>
                <w:noProof/>
              </w:rPr>
              <w:t>5.7 Regulation of Bill Ward No. 2</w:t>
            </w:r>
            <w:r>
              <w:rPr>
                <w:noProof/>
                <w:webHidden/>
              </w:rPr>
              <w:tab/>
            </w:r>
            <w:r>
              <w:rPr>
                <w:noProof/>
                <w:webHidden/>
              </w:rPr>
              <w:fldChar w:fldCharType="begin"/>
            </w:r>
            <w:r>
              <w:rPr>
                <w:noProof/>
                <w:webHidden/>
              </w:rPr>
              <w:instrText xml:space="preserve"> PAGEREF _Toc112854806 \h </w:instrText>
            </w:r>
            <w:r>
              <w:rPr>
                <w:noProof/>
                <w:webHidden/>
              </w:rPr>
            </w:r>
            <w:r>
              <w:rPr>
                <w:noProof/>
                <w:webHidden/>
              </w:rPr>
              <w:fldChar w:fldCharType="separate"/>
            </w:r>
            <w:r>
              <w:rPr>
                <w:noProof/>
                <w:webHidden/>
              </w:rPr>
              <w:t>11</w:t>
            </w:r>
            <w:r>
              <w:rPr>
                <w:noProof/>
                <w:webHidden/>
              </w:rPr>
              <w:fldChar w:fldCharType="end"/>
            </w:r>
          </w:hyperlink>
        </w:p>
        <w:p w14:paraId="532CCE23" w14:textId="77777777" w:rsidR="00C5174F" w:rsidRDefault="00C5174F">
          <w:pPr>
            <w:pStyle w:val="TOC1"/>
            <w:rPr>
              <w:rFonts w:asciiTheme="minorHAnsi" w:eastAsiaTheme="minorEastAsia" w:hAnsiTheme="minorHAnsi" w:cstheme="minorBidi"/>
              <w:b w:val="0"/>
              <w:noProof/>
            </w:rPr>
          </w:pPr>
          <w:hyperlink w:anchor="_Toc112854807" w:history="1">
            <w:r w:rsidRPr="00AF0404">
              <w:rPr>
                <w:rStyle w:val="Hyperlink"/>
                <w:noProof/>
              </w:rPr>
              <w:t>6. Conclusions and Recommendations</w:t>
            </w:r>
            <w:r>
              <w:rPr>
                <w:noProof/>
                <w:webHidden/>
              </w:rPr>
              <w:tab/>
            </w:r>
            <w:r>
              <w:rPr>
                <w:noProof/>
                <w:webHidden/>
              </w:rPr>
              <w:fldChar w:fldCharType="begin"/>
            </w:r>
            <w:r>
              <w:rPr>
                <w:noProof/>
                <w:webHidden/>
              </w:rPr>
              <w:instrText xml:space="preserve"> PAGEREF _Toc112854807 \h </w:instrText>
            </w:r>
            <w:r>
              <w:rPr>
                <w:noProof/>
                <w:webHidden/>
              </w:rPr>
            </w:r>
            <w:r>
              <w:rPr>
                <w:noProof/>
                <w:webHidden/>
              </w:rPr>
              <w:fldChar w:fldCharType="separate"/>
            </w:r>
            <w:r>
              <w:rPr>
                <w:noProof/>
                <w:webHidden/>
              </w:rPr>
              <w:t>12</w:t>
            </w:r>
            <w:r>
              <w:rPr>
                <w:noProof/>
                <w:webHidden/>
              </w:rPr>
              <w:fldChar w:fldCharType="end"/>
            </w:r>
          </w:hyperlink>
        </w:p>
        <w:p w14:paraId="78ECE3B0" w14:textId="77777777" w:rsidR="00C5174F" w:rsidRDefault="00C5174F">
          <w:pPr>
            <w:pStyle w:val="TOC1"/>
            <w:rPr>
              <w:rFonts w:asciiTheme="minorHAnsi" w:eastAsiaTheme="minorEastAsia" w:hAnsiTheme="minorHAnsi" w:cstheme="minorBidi"/>
              <w:b w:val="0"/>
              <w:noProof/>
            </w:rPr>
          </w:pPr>
          <w:hyperlink w:anchor="_Toc112854808" w:history="1">
            <w:r w:rsidRPr="00AF0404">
              <w:rPr>
                <w:rStyle w:val="Hyperlink"/>
                <w:noProof/>
              </w:rPr>
              <w:t>7. References</w:t>
            </w:r>
            <w:r>
              <w:rPr>
                <w:noProof/>
                <w:webHidden/>
              </w:rPr>
              <w:tab/>
            </w:r>
            <w:r>
              <w:rPr>
                <w:noProof/>
                <w:webHidden/>
              </w:rPr>
              <w:fldChar w:fldCharType="begin"/>
            </w:r>
            <w:r>
              <w:rPr>
                <w:noProof/>
                <w:webHidden/>
              </w:rPr>
              <w:instrText xml:space="preserve"> PAGEREF _Toc112854808 \h </w:instrText>
            </w:r>
            <w:r>
              <w:rPr>
                <w:noProof/>
                <w:webHidden/>
              </w:rPr>
            </w:r>
            <w:r>
              <w:rPr>
                <w:noProof/>
                <w:webHidden/>
              </w:rPr>
              <w:fldChar w:fldCharType="separate"/>
            </w:r>
            <w:r>
              <w:rPr>
                <w:noProof/>
                <w:webHidden/>
              </w:rPr>
              <w:t>13</w:t>
            </w:r>
            <w:r>
              <w:rPr>
                <w:noProof/>
                <w:webHidden/>
              </w:rPr>
              <w:fldChar w:fldCharType="end"/>
            </w:r>
          </w:hyperlink>
        </w:p>
        <w:p w14:paraId="32E7C203" w14:textId="77777777" w:rsidR="00DF2EC7" w:rsidRDefault="00000000">
          <w:r>
            <w:fldChar w:fldCharType="end"/>
          </w:r>
        </w:p>
      </w:sdtContent>
    </w:sdt>
    <w:p w14:paraId="000AB64D" w14:textId="77777777" w:rsidR="00DF2EC7" w:rsidRDefault="00000000">
      <w:r>
        <w:br w:type="page"/>
      </w:r>
    </w:p>
    <w:p w14:paraId="360046D8" w14:textId="77777777" w:rsidR="00DF2EC7" w:rsidRDefault="00000000">
      <w:pPr>
        <w:pStyle w:val="Heading1"/>
      </w:pPr>
      <w:bookmarkStart w:id="0" w:name="introduction"/>
      <w:bookmarkStart w:id="1" w:name="_Toc112854787"/>
      <w:r>
        <w:lastRenderedPageBreak/>
        <w:t>1. Introduction</w:t>
      </w:r>
      <w:bookmarkEnd w:id="1"/>
    </w:p>
    <w:p w14:paraId="43AAA004" w14:textId="77777777" w:rsidR="00DF2EC7" w:rsidRDefault="00000000">
      <w:r>
        <w:t>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p w14:paraId="03C98EE0" w14:textId="77777777" w:rsidR="00DF2EC7" w:rsidRDefault="00000000">
      <w:pPr>
        <w:pStyle w:val="BodyText"/>
      </w:pPr>
      <w:r>
        <w:t>The two wells referenced above are fully adjudicated groundwater production wells located adjacent to an approximately 10 acre gravel pit near LaGrange, Wyoming, in southern Goshen County. The gravel pit intersects the water table, causing the pit to fill partially or completely with groundwater depending on seasonal water levels and irrigation pumping. The gravel pit and wells are located in the LaGrange alluvial valley, situated in between Bear and Horse Creeks, in an area of relatively heavy irrigation utilizing both surface and ground water rights.</w:t>
      </w:r>
    </w:p>
    <w:p w14:paraId="667ADD8C" w14:textId="77777777" w:rsidR="00DF2EC7" w:rsidRDefault="00000000">
      <w:pPr>
        <w:pStyle w:val="Heading2"/>
      </w:pPr>
      <w:bookmarkStart w:id="2" w:name="complaint"/>
      <w:bookmarkStart w:id="3" w:name="_Toc112854788"/>
      <w:r>
        <w:t>1.1 Complaint</w:t>
      </w:r>
      <w:bookmarkEnd w:id="3"/>
    </w:p>
    <w:p w14:paraId="12922A37" w14:textId="77777777" w:rsidR="00DF2EC7" w:rsidRDefault="00000000">
      <w:r>
        <w:t>Mr. Ruiz contends that pumping from the Bill Ward No. 2 Well (and its enlargement) draws down the level of the water in the gravel pit excessively. Mr. Ruiz requested an interference investigation pursuant to Wyo. Stat. § 41-3-911(b).</w:t>
      </w:r>
      <w:r>
        <w:br/>
      </w:r>
    </w:p>
    <w:p w14:paraId="0C6A381B" w14:textId="77777777" w:rsidR="00DF2EC7" w:rsidRDefault="00000000">
      <w:pPr>
        <w:pStyle w:val="BodyText"/>
      </w:pPr>
      <w:r>
        <w:t>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14:paraId="61F71928" w14:textId="77777777" w:rsidR="00DF2EC7" w:rsidRDefault="00000000">
      <w:pPr>
        <w:pStyle w:val="BodyText"/>
      </w:pPr>
      <w:r>
        <w:t>Upon initial review of records, SEO personnel established the following:</w:t>
      </w:r>
    </w:p>
    <w:p w14:paraId="5F8CF9F5" w14:textId="77777777" w:rsidR="00DF2EC7" w:rsidRDefault="00000000">
      <w:pPr>
        <w:numPr>
          <w:ilvl w:val="0"/>
          <w:numId w:val="20"/>
        </w:numPr>
      </w:pPr>
      <w:r>
        <w:t>Valid water rights appear to exist for each of the wells in question.</w:t>
      </w:r>
    </w:p>
    <w:p w14:paraId="3E5E1175" w14:textId="77777777" w:rsidR="00DF2EC7" w:rsidRDefault="00000000">
      <w:pPr>
        <w:numPr>
          <w:ilvl w:val="0"/>
          <w:numId w:val="20"/>
        </w:numPr>
      </w:pPr>
      <w:r>
        <w:t>The wells are screened in the LaGrange Aquifer alluvium. The Bill Ward No. 2 Well is 60 feet deep, and the Sherard Well No. 6 Well is 43 feet deep. Both wells are screened across the full saturated thickness of the alluvium at their respective locations.</w:t>
      </w:r>
    </w:p>
    <w:p w14:paraId="39D08D19" w14:textId="77777777" w:rsidR="00DF2EC7" w:rsidRDefault="00000000">
      <w:pPr>
        <w:numPr>
          <w:ilvl w:val="0"/>
          <w:numId w:val="20"/>
        </w:numPr>
      </w:pPr>
      <w:r>
        <w:t>The priority date of the Sherard Well No. 6 (05/14/1970) is senior to the priority date of the Bill Ward No. 2 Well (03/17/1971).</w:t>
      </w:r>
    </w:p>
    <w:p w14:paraId="10C1B886" w14:textId="77777777" w:rsidR="00DF2EC7" w:rsidRDefault="00000000">
      <w:pPr>
        <w:numPr>
          <w:ilvl w:val="0"/>
          <w:numId w:val="20"/>
        </w:numPr>
      </w:pPr>
      <w:r>
        <w:t>The Sherard No. 6 Well is permitted for irrigation and miscellaneous use. The remarks section of the permit states that the miscellaneous use is for fish culture and recreational purposes.</w:t>
      </w:r>
    </w:p>
    <w:p w14:paraId="72D0A83F" w14:textId="77777777" w:rsidR="00DF2EC7" w:rsidRDefault="00000000">
      <w:pPr>
        <w:numPr>
          <w:ilvl w:val="0"/>
          <w:numId w:val="20"/>
        </w:numPr>
      </w:pPr>
      <w:r>
        <w:t>The Bill Ward No. 2 Well is permitted for irrigation use. The remarks section of the permit states that the property owners (at the time) agreed that Permit No. U.W. 5461 (Sherard No. 6) would have first right to use of the water.</w:t>
      </w:r>
      <w:r>
        <w:br/>
      </w:r>
    </w:p>
    <w:p w14:paraId="49D3623C" w14:textId="77777777" w:rsidR="00DF2EC7" w:rsidRDefault="00000000">
      <w:pPr>
        <w:pStyle w:val="Heading2"/>
      </w:pPr>
      <w:bookmarkStart w:id="4" w:name="authority"/>
      <w:bookmarkStart w:id="5" w:name="_Toc112854789"/>
      <w:bookmarkEnd w:id="2"/>
      <w:r>
        <w:t>1.2 Authority</w:t>
      </w:r>
      <w:bookmarkEnd w:id="5"/>
    </w:p>
    <w:p w14:paraId="4D6C809F" w14:textId="77777777" w:rsidR="00DF2EC7" w:rsidRDefault="00000000">
      <w:r>
        <w:t>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14:paraId="568F3205" w14:textId="77777777" w:rsidR="00DF2EC7" w:rsidRDefault="00000000">
      <w:pPr>
        <w:pStyle w:val="BodyText"/>
      </w:pPr>
      <w:r>
        <w:t>The statutes relating to interference are:</w:t>
      </w:r>
      <w:r>
        <w:br/>
      </w:r>
    </w:p>
    <w:p w14:paraId="4E7ED6FD" w14:textId="77777777" w:rsidR="00DF2EC7" w:rsidRDefault="00000000">
      <w:pPr>
        <w:pStyle w:val="SourceCode"/>
      </w:pPr>
      <w:r>
        <w:t>§41-3-911.  Authority to order interfering appropriator to cease withdrawals of water; hearing complaints by appropriators.</w:t>
      </w:r>
      <w:r>
        <w:br/>
      </w:r>
      <w:r>
        <w:b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w:t>
      </w:r>
      <w:r>
        <w:lastRenderedPageBreak/>
        <w:t xml:space="preserve">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t>§41-3-916.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t>§41-3-933.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t>§41-3-102.  Preferred uses; defined; order of preference.</w:t>
      </w:r>
      <w:r>
        <w:br/>
      </w:r>
      <w:r>
        <w:b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t xml:space="preserve">    (b)  Preferred water uses shall have preference rights in the following order: </w:t>
      </w:r>
      <w:r>
        <w:br/>
        <w:t xml:space="preserve">        (i)     Water for drinking purposes for both man and beast; </w:t>
      </w:r>
      <w:r>
        <w:br/>
        <w:t xml:space="preserve">        (ii Water for municipal purposes; </w:t>
      </w:r>
      <w:r>
        <w:br/>
        <w:t xml:space="preserve">        (iii)   Water for the use of steam engines and for general railway use, water for culinary, laundry, bathing, refrigerating (including the manufacture of ice), for steam and hot water heating plants, and steam power plants; and </w:t>
      </w:r>
      <w:r>
        <w:br/>
        <w:t xml:space="preserve">        (iv)    Industrial purposes. </w:t>
      </w:r>
      <w:r>
        <w:br/>
      </w:r>
      <w:r>
        <w:b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14:paraId="730A7456" w14:textId="77777777" w:rsidR="00DF2EC7" w:rsidRDefault="00000000">
      <w:r>
        <w:br w:type="page"/>
      </w:r>
    </w:p>
    <w:p w14:paraId="731DEB92" w14:textId="77777777" w:rsidR="00DF2EC7" w:rsidRDefault="00000000">
      <w:pPr>
        <w:pStyle w:val="Heading2"/>
      </w:pPr>
      <w:bookmarkStart w:id="6" w:name="water-rights"/>
      <w:bookmarkStart w:id="7" w:name="_Toc112854790"/>
      <w:bookmarkEnd w:id="4"/>
      <w:r>
        <w:lastRenderedPageBreak/>
        <w:t>1.3 Water Rights</w:t>
      </w:r>
      <w:bookmarkEnd w:id="7"/>
    </w:p>
    <w:p w14:paraId="5DE32245" w14:textId="77777777" w:rsidR="00DF2EC7" w:rsidRDefault="00000000">
      <w:r>
        <w:t>Appendix B provides copies of the permit documentation for the Sherard No. 6 and Bill Ward No. 2 wells. Figure 1 illustrates the location of the wells and the gravel pit. Summaries for completion and permit information for the wells referenced in this report are included on Table 1. Additionally, detailed information regarding the construction is provided below.</w:t>
      </w:r>
      <w:r>
        <w:br/>
      </w:r>
    </w:p>
    <w:p w14:paraId="6DA69000" w14:textId="77777777" w:rsidR="00DF2EC7" w:rsidRDefault="00000000">
      <w:pPr>
        <w:pStyle w:val="BodyText"/>
      </w:pPr>
      <w:r>
        <w:t>The Bill Ward No. 2 Well is located on the south edge of the gravel pit, near the gravel jetty that historically divided the pit into two halves. The well is 60 feet deep and is slotted between 4 and 60 feet below ground surface (ft bgs). It has “pea sized” gravel pack and a cement seal around the surface casing. According to the statement of completion, the pump is set at 54 ft bgs. The water right is permitted for 2275 GPM max flow rate, for irrigation use on 319.8 acres (Gross Wilkinson Ranch also owns an additional 152 acres irrigated under other water rights). SEO personnel (T Moloney, Ground Water Division) observed this well operating on 8/29/2022. The observed flow rate was 500 GPM.</w:t>
      </w:r>
    </w:p>
    <w:p w14:paraId="29EF2F29" w14:textId="77777777" w:rsidR="00DF2EC7" w:rsidRDefault="00000000">
      <w:pPr>
        <w:pStyle w:val="BodyText"/>
      </w:pPr>
      <w:r>
        <w:t>The Sherard No. 6 Well is located on the southeast edge of the pit. There is a metal intake structure in the pit below the location of the well, which may be piped together with the well. The well itself is located outside the pit. The well is 43 feet deep. A perforated interval was not indicated on the statement of completion but 6” by 1/4” perforation size was indicated. Static water level was measured at 3 ft bgs at the time of completion, so the perforated interval is assumed to be 3 feet to the total depth of the well, 43 feet. The depth of the pump setting is 20 feet. The water right is permitted for 2000 GPM max flow rate, for irrigation use on 185 acres, and miscellaneous use (fish culture and recreation in the gravel pit). SEO personnel (T Moloney, Ground Water Division) observed this well operation for a brief period on 8/29/2022. The observed flow rate was 200 GPM.</w:t>
      </w:r>
    </w:p>
    <w:p w14:paraId="57F105BE" w14:textId="77777777" w:rsidR="00DF2EC7" w:rsidRDefault="00000000">
      <w:r>
        <w:br w:type="page"/>
      </w:r>
    </w:p>
    <w:p w14:paraId="54763FA9" w14:textId="77777777" w:rsidR="00DF2EC7" w:rsidRDefault="00000000">
      <w:pPr>
        <w:pStyle w:val="Heading1"/>
      </w:pPr>
      <w:bookmarkStart w:id="8" w:name="geologic-and-hydrogeologic-overview"/>
      <w:bookmarkStart w:id="9" w:name="_Toc112854791"/>
      <w:bookmarkEnd w:id="0"/>
      <w:bookmarkEnd w:id="6"/>
      <w:r>
        <w:lastRenderedPageBreak/>
        <w:t>2. Geologic and Hydrogeologic Overview</w:t>
      </w:r>
      <w:bookmarkEnd w:id="9"/>
    </w:p>
    <w:p w14:paraId="577516FA" w14:textId="77777777" w:rsidR="00DF2EC7" w:rsidRDefault="00000000">
      <w:r>
        <w:t>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p w14:paraId="41FF53D4" w14:textId="77777777" w:rsidR="00DF2EC7" w:rsidRDefault="00000000">
      <w:pPr>
        <w:pStyle w:val="Heading2"/>
      </w:pPr>
      <w:bookmarkStart w:id="10" w:name="stratigraphy"/>
      <w:bookmarkStart w:id="11" w:name="_Toc112854792"/>
      <w:r>
        <w:t>2.1 Stratigraphy</w:t>
      </w:r>
      <w:bookmarkEnd w:id="11"/>
    </w:p>
    <w:p w14:paraId="7B3FD224" w14:textId="77777777" w:rsidR="00DF2EC7" w:rsidRDefault="00000000">
      <w:r>
        <w:t>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p w14:paraId="5A6D9F05" w14:textId="77777777" w:rsidR="00DF2EC7" w:rsidRDefault="00000000">
      <w:pPr>
        <w:pStyle w:val="Heading2"/>
      </w:pPr>
      <w:bookmarkStart w:id="12" w:name="hydrogeology"/>
      <w:bookmarkStart w:id="13" w:name="_Toc112854793"/>
      <w:bookmarkEnd w:id="10"/>
      <w:r>
        <w:t>2.2 Hydrogeology</w:t>
      </w:r>
      <w:bookmarkEnd w:id="13"/>
    </w:p>
    <w:p w14:paraId="3A7A6B0B" w14:textId="77777777" w:rsidR="00DF2EC7" w:rsidRDefault="00000000">
      <w:r>
        <w:t>The Lance, Chadron, and Arikaree Formations are not significant aquifers in the La Grange area (Borchert 1976). Transmissive units that form aquifers in the vicinity of LaGrange are the alluvium and the Brule Formation of the White River Group.</w:t>
      </w:r>
      <w:r>
        <w:br/>
      </w:r>
      <w:r>
        <w:br/>
        <w:t>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t>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t>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w:t>
      </w:r>
      <w:r>
        <w:lastRenderedPageBreak/>
        <w:t>the sustainable rate of groundwater production. The First Amended Order of the State Engineer - Horse Creek Basin was issued based on the results of the Hinckley Consulting and AMEC (2011) modeling.</w:t>
      </w:r>
      <w:r>
        <w:br/>
      </w:r>
    </w:p>
    <w:p w14:paraId="056951E0" w14:textId="77777777" w:rsidR="00DF2EC7" w:rsidRDefault="00000000">
      <w:r>
        <w:br w:type="page"/>
      </w:r>
    </w:p>
    <w:p w14:paraId="3476BFCA" w14:textId="77777777" w:rsidR="00DF2EC7" w:rsidRDefault="00000000">
      <w:pPr>
        <w:pStyle w:val="Heading1"/>
      </w:pPr>
      <w:bookmarkStart w:id="14" w:name="horse-creek-order"/>
      <w:bookmarkStart w:id="15" w:name="_Toc112854794"/>
      <w:bookmarkEnd w:id="8"/>
      <w:bookmarkEnd w:id="12"/>
      <w:r>
        <w:lastRenderedPageBreak/>
        <w:t>3. Horse Creek Order</w:t>
      </w:r>
      <w:bookmarkEnd w:id="15"/>
    </w:p>
    <w:p w14:paraId="4AA871D0" w14:textId="77777777" w:rsidR="00DF2EC7" w:rsidRDefault="00000000">
      <w:r>
        <w:t>The Horse Creek Order is an order issued by the Wyoming State Engineer (“The Order”).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t>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t>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t>The Order has been reassessed periodically since its issuance. The 2017 ammended order increased the groundwater production cap from 12 acre-in per year to 15 acre in per year, with a three year rolling cap of 45 acre in per year.</w:t>
      </w:r>
      <w:r>
        <w:br/>
      </w:r>
      <w:r>
        <w:br/>
        <w:t>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is provided in Table 2. According to Table 2,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14:paraId="3B2312B4" w14:textId="77777777" w:rsidR="00DF2EC7" w:rsidRDefault="00000000">
      <w:r>
        <w:br w:type="page"/>
      </w:r>
    </w:p>
    <w:p w14:paraId="4B914A92" w14:textId="77777777" w:rsidR="00DF2EC7" w:rsidRDefault="00000000">
      <w:pPr>
        <w:pStyle w:val="Heading1"/>
      </w:pPr>
      <w:bookmarkStart w:id="16" w:name="data-and-analysis"/>
      <w:bookmarkStart w:id="17" w:name="_Toc112854795"/>
      <w:bookmarkEnd w:id="14"/>
      <w:r>
        <w:lastRenderedPageBreak/>
        <w:t>4. Data and Analysis</w:t>
      </w:r>
      <w:bookmarkEnd w:id="17"/>
    </w:p>
    <w:p w14:paraId="1FE6B24F" w14:textId="77777777" w:rsidR="00DF2EC7" w:rsidRDefault="00000000">
      <w:r>
        <w:t>This section contains data relating to groundwater levels, groundwater production rates, and estimated cones of depression for the wells under consideration, which was compiled by the SEO- Ground Water Division.</w:t>
      </w:r>
      <w:r>
        <w:br/>
      </w:r>
    </w:p>
    <w:p w14:paraId="7053506C" w14:textId="77777777" w:rsidR="00DF2EC7" w:rsidRDefault="00000000">
      <w:pPr>
        <w:pStyle w:val="Heading2"/>
      </w:pPr>
      <w:bookmarkStart w:id="18" w:name="groundwater-level-data"/>
      <w:bookmarkStart w:id="19" w:name="_Toc112854796"/>
      <w:r>
        <w:t>4.1 Groundwater Level Data</w:t>
      </w:r>
      <w:bookmarkEnd w:id="19"/>
    </w:p>
    <w:p w14:paraId="47412343" w14:textId="77777777" w:rsidR="00DF2EC7" w:rsidRDefault="00000000">
      <w:r>
        <w:t>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for the time period 2010-2022 are included in Appendix C. Appendix C also contains a location map of all monitoring wells in the area and hydrographs from each monitoring location for the entire period of record.</w:t>
      </w:r>
      <w:r>
        <w:br/>
      </w:r>
    </w:p>
    <w:p w14:paraId="28F2AE10" w14:textId="77777777" w:rsidR="00DF2EC7" w:rsidRDefault="00000000">
      <w:pPr>
        <w:pStyle w:val="BodyText"/>
      </w:pPr>
      <w:r>
        <w:t>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r>
        <w:br/>
      </w:r>
    </w:p>
    <w:p w14:paraId="010C64CC" w14:textId="77777777" w:rsidR="00DF2EC7" w:rsidRDefault="00000000">
      <w:pPr>
        <w:pStyle w:val="BodyText"/>
      </w:pPr>
      <w:r>
        <w:t>During a site visit on 8/29/2022, SEO personnel estimated that the water level in the pit was 9.62 feet below full pool, which is approximately 20.62 feet below the ground elevation at the location of Sherard No. 6. According to observations by Gabe Ruiz, the Bill Ward No. 2 well had been in operation for 66 of the preceding 90 days as of 8/29/2022.</w:t>
      </w:r>
    </w:p>
    <w:p w14:paraId="53839670" w14:textId="77777777" w:rsidR="00DF2EC7" w:rsidRDefault="00000000">
      <w:pPr>
        <w:pStyle w:val="Heading2"/>
      </w:pPr>
      <w:bookmarkStart w:id="20" w:name="groundwater-production-data"/>
      <w:bookmarkStart w:id="21" w:name="_Toc112854797"/>
      <w:bookmarkEnd w:id="18"/>
      <w:r>
        <w:t>4.2 Groundwater Production Data</w:t>
      </w:r>
      <w:bookmarkEnd w:id="21"/>
    </w:p>
    <w:p w14:paraId="7A2F2698" w14:textId="77777777" w:rsidR="00DF2EC7" w:rsidRDefault="00000000">
      <w:r>
        <w:t>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Complete tables from the annual hydrographer reports are provided in Appendix D.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 Both the Gross Wilkinson Ranch and Gabriel Ruiz are and have been in compliance with the Horse Creek Order in terms of their overall rate of irrigation application.</w:t>
      </w:r>
      <w:r>
        <w:br/>
      </w:r>
    </w:p>
    <w:p w14:paraId="7DE88DB3" w14:textId="77777777" w:rsidR="00DF2EC7" w:rsidRDefault="00000000">
      <w:pPr>
        <w:pStyle w:val="BodyText"/>
      </w:pPr>
      <w:r>
        <w:t>On average for the years 2017-2021, the Gross Wilkinson ranch applied 2445 acre inches per year for irrigation, 46.5% of which comes from Bill Ward No. 2. Assuming a year round average water surface area of 7 acres, and applying the evaporation rate estimated by Curtis and Grimes (2004), the evaporative loss from the gravel pit is estimated to be about 243.6 acre inches per year.</w:t>
      </w:r>
    </w:p>
    <w:p w14:paraId="5D910F3A" w14:textId="77777777" w:rsidR="00DF2EC7" w:rsidRDefault="00000000">
      <w:pPr>
        <w:pStyle w:val="Heading2"/>
      </w:pPr>
      <w:bookmarkStart w:id="22" w:name="Xe2d09916ebd73fb162fa5cd89ad1b690f4c021b"/>
      <w:bookmarkStart w:id="23" w:name="_Toc112854798"/>
      <w:bookmarkEnd w:id="20"/>
      <w:r>
        <w:t>4.3 Estimated Theroetical Cones of Depression</w:t>
      </w:r>
      <w:bookmarkEnd w:id="23"/>
    </w:p>
    <w:p w14:paraId="21020002" w14:textId="77777777" w:rsidR="00DF2EC7" w:rsidRDefault="00000000">
      <w:r>
        <w:t xml:space="preserve">The Theis equation (Theis 1935) was used to project drawdown from pumping each well at 60% of it’s maximum adjudicated flow rate continuously during a 95 day irrigation season. The cone of depression for each well is plotted and superimposed on the other well’s on Figure 2. Because drawdown is additive, the drawdown at a location in the area of overlapping cones of depression between the two wells would be equal to the sum of the </w:t>
      </w:r>
      <w:r>
        <w:lastRenderedPageBreak/>
        <w:t>predicted drawdowns for each well individually (Fetter, 1994).</w:t>
      </w:r>
      <w:r>
        <w:br/>
      </w:r>
    </w:p>
    <w:p w14:paraId="64C721B1" w14:textId="77777777" w:rsidR="00DF2EC7" w:rsidRDefault="00000000">
      <w:pPr>
        <w:pStyle w:val="BodyText"/>
      </w:pPr>
      <w:r>
        <w:t>One of the assumptions underlying the Theis Equation is that the aquifer is of infinite extent (Theis, 1935). This is generally not an issue when analyzing a short term pumping test using the Theis equation, but it is important to recognize that this condition is not met when making projections of theoretical drawdown at regional scale over very long periods of time. In our application, we use the Theis equation to project maximum drawdown at the end of a single 95 day irrigation season.</w:t>
      </w:r>
    </w:p>
    <w:p w14:paraId="466482C1" w14:textId="77777777" w:rsidR="00DF2EC7" w:rsidRDefault="00000000">
      <w:pPr>
        <w:pStyle w:val="BodyText"/>
      </w:pPr>
      <w:r>
        <w:t>Figure 3 depicts a similar estimate of drawdown using the Theis equation, except that the average annual use rate is used in setting the flow rate from the well. This figure suggests a much smaller radius of influence for Sherard No. 6, because of the lack of groundwater pumping.</w:t>
      </w:r>
    </w:p>
    <w:p w14:paraId="18F8FED5" w14:textId="77777777" w:rsidR="00DF2EC7" w:rsidRDefault="00000000">
      <w:pPr>
        <w:pStyle w:val="BodyText"/>
      </w:pPr>
      <w:r>
        <w:t>Figure 4 depicts the Sherard No 6 Well’s cone of depression based on 60% of it’s permitted maximum flow rate, and the Bill Ward No. 2 well based on 2017-2021 average annual use rate. The overlap in the cones of depression depicted on Figure 4 is approximately 20%.</w:t>
      </w:r>
    </w:p>
    <w:p w14:paraId="2354E741" w14:textId="77777777" w:rsidR="00DF2EC7" w:rsidRDefault="00000000">
      <w:pPr>
        <w:pStyle w:val="BodyText"/>
      </w:pPr>
      <w:r>
        <w:t>These calculations suggest there is potential for Bill Ward No. 2 to interfere significantly with Sherard No. 6 depending on the extraction flow rate at each location. However, Figure 3 suggests it is possible for Sherard No. 6 to extract water at its permitted flow rate without “unreasonable” interference from Bill Ward No. 2 at production levels comparable to current annual use from Bill Ward No. 2. If both wells were pumped as suggested in Figure 3, the water level in the adjacent Gravel Pit would likely be affected. However, the Sherard No. 6 water right does not guarantee any specific water level in the pit. The water right simply permits the pit as a point of use.</w:t>
      </w:r>
    </w:p>
    <w:p w14:paraId="0B387318" w14:textId="77777777" w:rsidR="00DF2EC7" w:rsidRDefault="00000000">
      <w:r>
        <w:br w:type="page"/>
      </w:r>
    </w:p>
    <w:p w14:paraId="0FA42854" w14:textId="77777777" w:rsidR="00DF2EC7" w:rsidRDefault="00000000">
      <w:pPr>
        <w:pStyle w:val="Heading1"/>
      </w:pPr>
      <w:bookmarkStart w:id="24" w:name="options"/>
      <w:bookmarkStart w:id="25" w:name="_Toc112854799"/>
      <w:bookmarkEnd w:id="16"/>
      <w:bookmarkEnd w:id="22"/>
      <w:r>
        <w:lastRenderedPageBreak/>
        <w:t>5. Options</w:t>
      </w:r>
      <w:bookmarkEnd w:id="25"/>
    </w:p>
    <w:p w14:paraId="27ABD25E" w14:textId="77777777" w:rsidR="00DF2EC7" w:rsidRDefault="00000000">
      <w:r>
        <w:t>The Ground Water Division has identified potential solutions for ameliorating the impacts which were likely experienced at the Sherard No. 6 well. These solutions are presented in no particular order.</w:t>
      </w:r>
      <w:r>
        <w:br/>
      </w:r>
    </w:p>
    <w:p w14:paraId="05B22E4D" w14:textId="77777777" w:rsidR="00DF2EC7" w:rsidRDefault="00000000">
      <w:pPr>
        <w:pStyle w:val="Heading2"/>
      </w:pPr>
      <w:bookmarkStart w:id="26" w:name="no-regulation"/>
      <w:bookmarkStart w:id="27" w:name="_Toc112854800"/>
      <w:r>
        <w:t>5.1 No Regulation</w:t>
      </w:r>
      <w:bookmarkEnd w:id="27"/>
    </w:p>
    <w:p w14:paraId="1FA704C2" w14:textId="77777777" w:rsidR="00DF2EC7" w:rsidRDefault="00000000">
      <w:r>
        <w:t>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p w14:paraId="656E5693" w14:textId="77777777" w:rsidR="00DF2EC7" w:rsidRDefault="00000000">
      <w:pPr>
        <w:pStyle w:val="Heading2"/>
      </w:pPr>
      <w:bookmarkStart w:id="28" w:name="X4a5c2a59b8802a3719b3f93dc439d20fac42d92"/>
      <w:bookmarkStart w:id="29" w:name="_Toc112854801"/>
      <w:bookmarkEnd w:id="26"/>
      <w:r>
        <w:t>5.2 Require use of water by Sherard No. 6 before interference can be claimed</w:t>
      </w:r>
      <w:bookmarkEnd w:id="29"/>
    </w:p>
    <w:p w14:paraId="54FC25E9" w14:textId="77777777" w:rsidR="00DF2EC7" w:rsidRDefault="00000000">
      <w:r>
        <w:t>SEO records indicate that no water has been produced by the Sherard No. 6 well since 2018. Beneficial use is the basis, measure, and the limit of all water rights. The Sherard No. 6 water right may be eligible for abandonment under Wyo. Stat. 41-3-401. The instantaneous flow rate observed on the 8/29/2022 site visit from the Sherard No. 6 well was 200 GPM, which is 1/10th of the adjudicated maximum flow rate for this well. The flow rate observed was likely less than the adjudicated maximum flow rate due to ongoing drought, low water levels generally, and to an extent, due to interference from pumping Bill Ward No. 2. However, claiming interference seems inappropriate given that a relatively abundant supply of water (200 GPM) is readily available by pumping Sherard No. 6.</w:t>
      </w:r>
      <w:r>
        <w:br/>
      </w:r>
    </w:p>
    <w:p w14:paraId="684733AF" w14:textId="77777777" w:rsidR="00DF2EC7" w:rsidRDefault="00000000">
      <w:pPr>
        <w:pStyle w:val="Heading2"/>
      </w:pPr>
      <w:bookmarkStart w:id="30" w:name="Xf3bb3af936785b6a83fcd14486edea8240b1bcc"/>
      <w:bookmarkStart w:id="31" w:name="_Toc112854802"/>
      <w:bookmarkEnd w:id="28"/>
      <w:r>
        <w:t>5.3 Furnishment of water at the expense of the junior appropriator</w:t>
      </w:r>
      <w:bookmarkEnd w:id="31"/>
    </w:p>
    <w:p w14:paraId="0E96AAD3" w14:textId="77777777" w:rsidR="00DF2EC7" w:rsidRDefault="00000000">
      <w:r>
        <w:t>If it can be shown that the Sherard No. 6 Well cannot yield an adequate supply of water for the permitted uses associated with the water right (irrigation, miscellaneous) during the irrigation season by active pumping, the provision of water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water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p w14:paraId="452429DB" w14:textId="77777777" w:rsidR="00DF2EC7" w:rsidRDefault="00000000">
      <w:pPr>
        <w:pStyle w:val="Heading2"/>
      </w:pPr>
      <w:bookmarkStart w:id="32" w:name="X7c83fe9d3c8d2410d61a37f93e4594702cf2a31"/>
      <w:bookmarkStart w:id="33" w:name="_Toc112854803"/>
      <w:bookmarkEnd w:id="30"/>
      <w:r>
        <w:t>5.4 Curtailment of production from Bill Ward No. 2 to a “reasonable” level of interference</w:t>
      </w:r>
      <w:bookmarkEnd w:id="33"/>
    </w:p>
    <w:p w14:paraId="1766A229" w14:textId="77777777" w:rsidR="00DF2EC7" w:rsidRDefault="00000000">
      <w:r>
        <w:t>SEO records suggest that average annual water production from Bill Ward No. 2 Well during the last 5 years (2017-2021) was 94.71 acre-feet per year. Our calculations of the cones of depression caused by pumping Sherard No. 6 and Bill Ward No. 2 suggest that there would be a 20% overlap of the cones of depression if each well was operated for 95 days, with Sherard No. 6 pumping 1200 GPM and Bill Ward No. 2 pumping 226 GPM. Limiting the production rate for Bill Ward No. 2 to 226 GPM could reduce the magnitude of interference with Sherard No. 6 to a “reasonable” level, consistent with the use of the language “unreasonable interference” in Wyo. Stat. 41-3-911(a) while allowing continued operation of Bill Ward No. 2 to support irrigation use. Again, the statement about “unreasonable interference” occurs in reference to interference with domestic and stock wells specifically.</w:t>
      </w:r>
      <w:r>
        <w:br/>
      </w:r>
    </w:p>
    <w:p w14:paraId="5767AC13" w14:textId="77777777" w:rsidR="00DF2EC7" w:rsidRDefault="00000000">
      <w:pPr>
        <w:pStyle w:val="Heading2"/>
      </w:pPr>
      <w:bookmarkStart w:id="34" w:name="user-agreement"/>
      <w:bookmarkStart w:id="35" w:name="_Toc112854804"/>
      <w:bookmarkEnd w:id="32"/>
      <w:r>
        <w:t>5.5 User Agreement</w:t>
      </w:r>
      <w:bookmarkEnd w:id="35"/>
    </w:p>
    <w:p w14:paraId="3F41430C" w14:textId="77777777" w:rsidR="00DF2EC7" w:rsidRDefault="00000000">
      <w:r>
        <w:t xml:space="preserve">Wyo. Stat. §41-3-915(c) specifies that appropriators within a Control Area “may agree to any method or scheme of control of withdrawals, well spacing, apportionment, rotation or proration of the common supply of </w:t>
      </w:r>
      <w:r>
        <w:lastRenderedPageBreak/>
        <w:t>underground water.” 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and 8/29/2022) suggests that there was a recent user agreement in place between the two property owners, but that Mr. Ruiz believes the other property owner is not following that agreement. This should be revisited in discussions with the property owners.</w:t>
      </w:r>
      <w:r>
        <w:br/>
      </w:r>
    </w:p>
    <w:p w14:paraId="45B5FDA6" w14:textId="77777777" w:rsidR="00DF2EC7" w:rsidRDefault="00000000">
      <w:pPr>
        <w:pStyle w:val="Heading2"/>
      </w:pPr>
      <w:bookmarkStart w:id="36" w:name="rotation"/>
      <w:bookmarkStart w:id="37" w:name="_Toc112854805"/>
      <w:bookmarkEnd w:id="34"/>
      <w:r>
        <w:t>5.6 Rotation</w:t>
      </w:r>
      <w:bookmarkEnd w:id="37"/>
    </w:p>
    <w:p w14:paraId="71D09E6C" w14:textId="77777777" w:rsidR="00DF2EC7" w:rsidRDefault="00000000">
      <w:r>
        <w:t>Wyoming Statute § 41-3-612 provides for rotation of water. A written notice of intention to rotate must be submitted to the hydrographer-commissioner and may involve various appropriations owned by one party, or multiple appropriations owned by different parties. The hydrographer-commissioner exercises broad authority over authorizing and regulating proposals to rotate. A simple rotation scheme of pumping Bill Ward No. 2 10 days on / 10 days off throughout the irrigation season may minimize the cumulative drawdown on the aquifer and gravel pit, allowing time for the aquifer to recharge the water level in the pit during dry periods and preventing excessive dewatering of the pit that negatively affects fish culture. The hydrographer-commissioner may work with the appropriators in developing an acceptable rotation scheme.</w:t>
      </w:r>
      <w:r>
        <w:br/>
      </w:r>
    </w:p>
    <w:p w14:paraId="6B5A7C42" w14:textId="77777777" w:rsidR="00DF2EC7" w:rsidRDefault="00000000">
      <w:pPr>
        <w:pStyle w:val="Heading2"/>
      </w:pPr>
      <w:bookmarkStart w:id="38" w:name="regulation-of-bill-ward-no.-2"/>
      <w:bookmarkStart w:id="39" w:name="_Toc112854806"/>
      <w:bookmarkEnd w:id="36"/>
      <w:r>
        <w:t>5.7 Regulation of Bill Ward No. 2</w:t>
      </w:r>
      <w:bookmarkEnd w:id="39"/>
    </w:p>
    <w:p w14:paraId="095DE6E4" w14:textId="77777777" w:rsidR="00DF2EC7" w:rsidRDefault="00000000">
      <w:r>
        <w:t>Withdrawals of water from Bill Ward No. 2 could be stopped, to protect the senior water right of Sherard No. 6. This option is not preferred because of existing measures to conserve water and prevent priority regulation of groundwater wells in this area (Horse Creek Order). It is also possible that other wells contribute to the interference with Sherard No. 6, and it is possible that nearby junior appropriator wells interfere with Bill Ward No. 2. Invoking this regulation mechanism could potentially trigger a cascade of interference complaints that would expand outward to the point that most or all users of the single source of supply would become involved. This could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14:paraId="726F767E" w14:textId="77777777" w:rsidR="00DF2EC7" w:rsidRDefault="00000000">
      <w:r>
        <w:br w:type="page"/>
      </w:r>
    </w:p>
    <w:p w14:paraId="3921AC6C" w14:textId="77777777" w:rsidR="00DF2EC7" w:rsidRDefault="00000000">
      <w:pPr>
        <w:pStyle w:val="Heading1"/>
      </w:pPr>
      <w:bookmarkStart w:id="40" w:name="conclusions-and-recommendations"/>
      <w:bookmarkStart w:id="41" w:name="_Toc112854807"/>
      <w:bookmarkEnd w:id="24"/>
      <w:bookmarkEnd w:id="38"/>
      <w:r>
        <w:lastRenderedPageBreak/>
        <w:t>6. Conclusions and Recommendations</w:t>
      </w:r>
      <w:bookmarkEnd w:id="41"/>
    </w:p>
    <w:p w14:paraId="5BE06D65" w14:textId="77777777" w:rsidR="00DF2EC7" w:rsidRDefault="00000000">
      <w:r>
        <w:t>..</w:t>
      </w:r>
    </w:p>
    <w:p w14:paraId="4BD1A471" w14:textId="77777777" w:rsidR="00DF2EC7" w:rsidRDefault="00000000">
      <w:r>
        <w:br w:type="page"/>
      </w:r>
    </w:p>
    <w:p w14:paraId="449E5A58" w14:textId="77777777" w:rsidR="00DF2EC7" w:rsidRDefault="00000000">
      <w:pPr>
        <w:pStyle w:val="Heading1"/>
      </w:pPr>
      <w:bookmarkStart w:id="42" w:name="references"/>
      <w:bookmarkStart w:id="43" w:name="_Toc112854808"/>
      <w:bookmarkEnd w:id="40"/>
      <w:r>
        <w:lastRenderedPageBreak/>
        <w:t>7. References</w:t>
      </w:r>
      <w:bookmarkEnd w:id="43"/>
    </w:p>
    <w:p w14:paraId="09FCACE7" w14:textId="77777777" w:rsidR="00DF2EC7" w:rsidRDefault="00000000">
      <w:r>
        <w:t>Borchert, W.B. 1976. “Geohydrology of the Albin and La Grange Areas, Southeastern Wyoming.” Report 76–118. Water-Resources Investigations Report. USGS Publications Warehouse. https://doi.org/10.3133/wri76118.</w:t>
      </w:r>
    </w:p>
    <w:p w14:paraId="3D81BF9B" w14:textId="77777777" w:rsidR="00DF2EC7" w:rsidRDefault="00000000">
      <w:pPr>
        <w:pStyle w:val="BodyText"/>
      </w:pPr>
      <w:r>
        <w:t>Borchert, W.B. 1985. “The Ground-Water System in the LaGrange Aquifer near LaGrange, Southeastern Wyoming.” Report 83–4024. Water-Resources Investigations Report. USGS Publications Warehouse. https://doi.org/10.3133/wri834024.</w:t>
      </w:r>
    </w:p>
    <w:p w14:paraId="35A08529" w14:textId="77777777" w:rsidR="00DF2EC7" w:rsidRDefault="00000000">
      <w:pPr>
        <w:pStyle w:val="BodyText"/>
      </w:pPr>
      <w:r>
        <w:t>Fetter, C.W. 2001. Applied Hydrogeology. Fourth. Upper Saddle River, New Jersey: Prentice-Hall. Hinckley Consulting, and AMEC. 2011. “Horse Creek Groundwater / Surface Water Connection Investigation, Goshen and Laramie Counties, Wyoming.” https://drive.google.com/file/d/1xkTe4ErjcTf2b3o90BhB2hw3cK6JeFHx/view. J. Curtis and K. Grimes. 2004. Wyoming Climate Atlas. Water Resources Data System and State Climate Office. “NOAA U.S. Climate Normals 1991-2020.” n.d. Accessed August 26, 2022. https://registry.opendata.aws/noaa-climate-normals.</w:t>
      </w:r>
    </w:p>
    <w:p w14:paraId="6A21464A" w14:textId="77777777" w:rsidR="00DF2EC7" w:rsidRDefault="00000000">
      <w:pPr>
        <w:pStyle w:val="BodyText"/>
      </w:pPr>
      <w:r>
        <w:t>Rapp, J. R., F. N. Visher, R. T. Littleton, and W. H. Durum. 1957. “Geology and Ground-Water Resources of Goshen County Wyoming with a Section on Chemical Quality of the Ground Water.” Report 1377. Water Supply Paper. USGS Publications Warehouse. https://doi.org/10.3133/wsp1377.</w:t>
      </w:r>
    </w:p>
    <w:p w14:paraId="19928144" w14:textId="77777777" w:rsidR="00DF2EC7" w:rsidRDefault="00000000">
      <w:pPr>
        <w:pStyle w:val="BodyText"/>
      </w:pPr>
      <w:r>
        <w:t>Stafford, J.E., and A.M. Loveland. 2020. “Preliminary Geologic Map of the Chugwater 30’ x 60’ Quadrangle, Goshen, Platte, and Laramie Counties, Wyoming, and Scotts Bluff and Banner Counties, Nebraska.” Wyoming State Geological Survey Open File Report 20–1. https://sales.wsgs.wyo.gov/preliminary-geologic-map-of-the-chugwater-30-x-60-quadrangle-goshen-platte-and-laramie-counties-wyoming-and-scotts-bluff-and-banner-counties-nebraska-2020/.</w:t>
      </w:r>
    </w:p>
    <w:p w14:paraId="2475D543" w14:textId="77777777" w:rsidR="00DF2EC7" w:rsidRDefault="00000000">
      <w:pPr>
        <w:pStyle w:val="BodyText"/>
      </w:pPr>
      <w:r>
        <w:t>Theis, C.V. 1935. “The Relation between the Lowering of the Piezometric Surface and the Rate and Duration of Discharge of a Well Using Groundwater Storage.” Transactions of the American Geophysical Union 16: 519–24.</w:t>
      </w:r>
    </w:p>
    <w:p w14:paraId="578330B9" w14:textId="77777777" w:rsidR="00DF2EC7" w:rsidRDefault="00000000">
      <w:pPr>
        <w:pStyle w:val="BodyText"/>
      </w:pPr>
      <w:r>
        <w:t>Wyoming State Engineer’s Office. 2017. “First Amended Order of the State Engineer - Horse Creek Basin.” https://drive.google.com/file/d/1GzYh5WPjrrYOques1o_7pANlxfJjTEF7/view.</w:t>
      </w:r>
      <w:bookmarkEnd w:id="42"/>
    </w:p>
    <w:sectPr w:rsidR="00DF2EC7" w:rsidSect="00AD31D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B919" w14:textId="77777777" w:rsidR="00D47F80" w:rsidRDefault="00D47F80">
      <w:r>
        <w:separator/>
      </w:r>
    </w:p>
  </w:endnote>
  <w:endnote w:type="continuationSeparator" w:id="0">
    <w:p w14:paraId="71127EE8" w14:textId="77777777" w:rsidR="00D47F80" w:rsidRDefault="00D4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35C5" w14:textId="77777777" w:rsidR="00D47F80" w:rsidRDefault="00D47F80">
      <w:r>
        <w:separator/>
      </w:r>
    </w:p>
  </w:footnote>
  <w:footnote w:type="continuationSeparator" w:id="0">
    <w:p w14:paraId="4ED4F32A" w14:textId="77777777" w:rsidR="00D47F80" w:rsidRDefault="00D47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9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34D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74F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B6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E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282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62B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639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CE8C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7806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CF2AE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744CF0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9AA6A99"/>
    <w:multiLevelType w:val="hybridMultilevel"/>
    <w:tmpl w:val="9CF010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CF0729"/>
    <w:multiLevelType w:val="hybridMultilevel"/>
    <w:tmpl w:val="A1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F5F32"/>
    <w:multiLevelType w:val="hybridMultilevel"/>
    <w:tmpl w:val="8F60B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D35D7"/>
    <w:multiLevelType w:val="hybridMultilevel"/>
    <w:tmpl w:val="FF3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7FF"/>
    <w:multiLevelType w:val="hybridMultilevel"/>
    <w:tmpl w:val="9E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544FC"/>
    <w:multiLevelType w:val="hybridMultilevel"/>
    <w:tmpl w:val="95927350"/>
    <w:lvl w:ilvl="0" w:tplc="4E068F72">
      <w:start w:val="3"/>
      <w:numFmt w:val="lowerLetter"/>
      <w:lvlText w:val="(%1)"/>
      <w:lvlJc w:val="left"/>
      <w:pPr>
        <w:tabs>
          <w:tab w:val="num" w:pos="375"/>
        </w:tabs>
        <w:ind w:left="37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A51D6"/>
    <w:multiLevelType w:val="hybridMultilevel"/>
    <w:tmpl w:val="A37AF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1935F8"/>
    <w:multiLevelType w:val="hybridMultilevel"/>
    <w:tmpl w:val="663ED646"/>
    <w:lvl w:ilvl="0" w:tplc="BB8A1DA4">
      <w:start w:val="1"/>
      <w:numFmt w:val="decimal"/>
      <w:pStyle w:val="ListParagraph"/>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25734324">
    <w:abstractNumId w:val="17"/>
  </w:num>
  <w:num w:numId="2" w16cid:durableId="1951006895">
    <w:abstractNumId w:val="12"/>
  </w:num>
  <w:num w:numId="3" w16cid:durableId="183715354">
    <w:abstractNumId w:val="19"/>
  </w:num>
  <w:num w:numId="4" w16cid:durableId="542715620">
    <w:abstractNumId w:val="16"/>
  </w:num>
  <w:num w:numId="5" w16cid:durableId="287707260">
    <w:abstractNumId w:val="13"/>
  </w:num>
  <w:num w:numId="6" w16cid:durableId="2000384580">
    <w:abstractNumId w:val="14"/>
  </w:num>
  <w:num w:numId="7" w16cid:durableId="1418559124">
    <w:abstractNumId w:val="15"/>
  </w:num>
  <w:num w:numId="8" w16cid:durableId="19017263">
    <w:abstractNumId w:val="18"/>
  </w:num>
  <w:num w:numId="9" w16cid:durableId="1021979839">
    <w:abstractNumId w:val="9"/>
  </w:num>
  <w:num w:numId="10" w16cid:durableId="2130203978">
    <w:abstractNumId w:val="7"/>
  </w:num>
  <w:num w:numId="11" w16cid:durableId="1037044300">
    <w:abstractNumId w:val="6"/>
  </w:num>
  <w:num w:numId="12" w16cid:durableId="1104957739">
    <w:abstractNumId w:val="5"/>
  </w:num>
  <w:num w:numId="13" w16cid:durableId="1749187335">
    <w:abstractNumId w:val="4"/>
  </w:num>
  <w:num w:numId="14" w16cid:durableId="1794061259">
    <w:abstractNumId w:val="8"/>
  </w:num>
  <w:num w:numId="15" w16cid:durableId="1426000000">
    <w:abstractNumId w:val="3"/>
  </w:num>
  <w:num w:numId="16" w16cid:durableId="1552425705">
    <w:abstractNumId w:val="2"/>
  </w:num>
  <w:num w:numId="17" w16cid:durableId="1070074679">
    <w:abstractNumId w:val="1"/>
  </w:num>
  <w:num w:numId="18" w16cid:durableId="717122106">
    <w:abstractNumId w:val="0"/>
  </w:num>
  <w:num w:numId="19" w16cid:durableId="677317560">
    <w:abstractNumId w:val="10"/>
  </w:num>
  <w:num w:numId="20" w16cid:durableId="12866976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C7"/>
    <w:rsid w:val="00C5174F"/>
    <w:rsid w:val="00D47F80"/>
    <w:rsid w:val="00DF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392A"/>
  <w15:docId w15:val="{92EC5F39-42E9-49F4-81D9-D896C18B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B2E"/>
    <w:pPr>
      <w:outlineLvl w:val="0"/>
    </w:pPr>
    <w:rPr>
      <w:b/>
      <w:caps/>
    </w:rPr>
  </w:style>
  <w:style w:type="paragraph" w:styleId="Heading2">
    <w:name w:val="heading 2"/>
    <w:basedOn w:val="Normal"/>
    <w:next w:val="Normal"/>
    <w:link w:val="Heading2Char"/>
    <w:uiPriority w:val="9"/>
    <w:unhideWhenUsed/>
    <w:qFormat/>
    <w:rsid w:val="00942B2E"/>
    <w:pPr>
      <w:outlineLvl w:val="1"/>
    </w:pPr>
    <w:rPr>
      <w:b/>
      <w:u w:val="single"/>
    </w:rPr>
  </w:style>
  <w:style w:type="paragraph" w:styleId="Heading3">
    <w:name w:val="heading 3"/>
    <w:basedOn w:val="Normal"/>
    <w:next w:val="BodyText"/>
    <w:link w:val="Heading3Char"/>
    <w:qFormat/>
    <w:rsid w:val="00D751C1"/>
    <w:pPr>
      <w:jc w:val="center"/>
      <w:outlineLvl w:val="2"/>
    </w:pPr>
    <w:rPr>
      <w:b/>
      <w:sz w:val="36"/>
      <w:szCs w:val="36"/>
    </w:rPr>
  </w:style>
  <w:style w:type="paragraph" w:styleId="Heading4">
    <w:name w:val="heading 4"/>
    <w:basedOn w:val="Heading3"/>
    <w:next w:val="Normal"/>
    <w:link w:val="Heading4Char"/>
    <w:uiPriority w:val="9"/>
    <w:unhideWhenUsed/>
    <w:qFormat/>
    <w:rsid w:val="00D751C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6112C8"/>
    <w:pPr>
      <w:overflowPunct w:val="0"/>
      <w:autoSpaceDE w:val="0"/>
      <w:autoSpaceDN w:val="0"/>
      <w:adjustRightInd w:val="0"/>
      <w:ind w:firstLine="288"/>
    </w:pPr>
    <w:rPr>
      <w:rFonts w:ascii="Courier New" w:hAnsi="Courier New"/>
      <w:sz w:val="24"/>
    </w:rPr>
  </w:style>
  <w:style w:type="paragraph" w:customStyle="1" w:styleId="L2">
    <w:name w:val="L2"/>
    <w:basedOn w:val="Normal"/>
    <w:rsid w:val="006112C8"/>
    <w:pPr>
      <w:overflowPunct w:val="0"/>
      <w:autoSpaceDE w:val="0"/>
      <w:autoSpaceDN w:val="0"/>
      <w:adjustRightInd w:val="0"/>
      <w:ind w:firstLine="576"/>
    </w:pPr>
    <w:rPr>
      <w:rFonts w:ascii="Courier New" w:hAnsi="Courier New"/>
      <w:sz w:val="24"/>
    </w:rPr>
  </w:style>
  <w:style w:type="character" w:customStyle="1" w:styleId="section">
    <w:name w:val="section"/>
    <w:basedOn w:val="DefaultParagraphFont"/>
    <w:rsid w:val="006112C8"/>
    <w:rPr>
      <w:rFonts w:ascii="Courier New" w:hAnsi="Courier New"/>
      <w:sz w:val="24"/>
    </w:rPr>
  </w:style>
  <w:style w:type="character" w:customStyle="1" w:styleId="mspace">
    <w:name w:val="mspace"/>
    <w:rsid w:val="006112C8"/>
    <w:rPr>
      <w:rFonts w:ascii="Courier New" w:hAnsi="Courier New"/>
      <w:sz w:val="24"/>
    </w:rPr>
  </w:style>
  <w:style w:type="character" w:customStyle="1" w:styleId="sectioncatch">
    <w:name w:val="sectioncatch"/>
    <w:basedOn w:val="DefaultParagraphFont"/>
    <w:rsid w:val="006112C8"/>
    <w:rPr>
      <w:rFonts w:ascii="Courier New" w:hAnsi="Courier New"/>
      <w:sz w:val="24"/>
    </w:rPr>
  </w:style>
  <w:style w:type="character" w:customStyle="1" w:styleId="body">
    <w:name w:val="body"/>
    <w:rsid w:val="00363949"/>
    <w:rPr>
      <w:rFonts w:ascii="Times New Roman" w:hAnsi="Times New Roman"/>
      <w:szCs w:val="22"/>
    </w:rPr>
  </w:style>
  <w:style w:type="character" w:customStyle="1" w:styleId="subsect">
    <w:name w:val="subsect"/>
    <w:basedOn w:val="DefaultParagraphFont"/>
    <w:rsid w:val="006112C8"/>
    <w:rPr>
      <w:rFonts w:ascii="Courier New" w:hAnsi="Courier New"/>
      <w:sz w:val="24"/>
    </w:rPr>
  </w:style>
  <w:style w:type="character" w:customStyle="1" w:styleId="para">
    <w:name w:val="para"/>
    <w:basedOn w:val="DefaultParagraphFont"/>
    <w:rsid w:val="006112C8"/>
    <w:rPr>
      <w:rFonts w:ascii="Courier New" w:hAnsi="Courier New"/>
      <w:sz w:val="24"/>
    </w:rPr>
  </w:style>
  <w:style w:type="paragraph" w:customStyle="1" w:styleId="L3">
    <w:name w:val="L3"/>
    <w:basedOn w:val="Normal"/>
    <w:rsid w:val="006112C8"/>
    <w:pPr>
      <w:overflowPunct w:val="0"/>
      <w:autoSpaceDE w:val="0"/>
      <w:autoSpaceDN w:val="0"/>
      <w:adjustRightInd w:val="0"/>
      <w:ind w:firstLine="864"/>
      <w:textAlignment w:val="baseline"/>
    </w:pPr>
    <w:rPr>
      <w:rFonts w:ascii="Courier New" w:hAnsi="Courier New"/>
      <w:sz w:val="24"/>
    </w:rPr>
  </w:style>
  <w:style w:type="character" w:customStyle="1" w:styleId="Heading3Char">
    <w:name w:val="Heading 3 Char"/>
    <w:basedOn w:val="DefaultParagraphFont"/>
    <w:link w:val="Heading3"/>
    <w:rsid w:val="00D751C1"/>
    <w:rPr>
      <w:rFonts w:ascii="Times New Roman" w:eastAsia="Times New Roman" w:hAnsi="Times New Roman" w:cs="Times New Roman"/>
      <w:b/>
      <w:sz w:val="36"/>
      <w:szCs w:val="36"/>
    </w:rPr>
  </w:style>
  <w:style w:type="paragraph" w:styleId="BodyText">
    <w:name w:val="Body Text"/>
    <w:basedOn w:val="Normal"/>
    <w:link w:val="BodyTextChar"/>
    <w:uiPriority w:val="99"/>
    <w:semiHidden/>
    <w:unhideWhenUsed/>
    <w:rsid w:val="006112C8"/>
    <w:pPr>
      <w:spacing w:after="120"/>
    </w:pPr>
  </w:style>
  <w:style w:type="character" w:customStyle="1" w:styleId="BodyTextChar">
    <w:name w:val="Body Text Char"/>
    <w:basedOn w:val="DefaultParagraphFont"/>
    <w:link w:val="BodyText"/>
    <w:uiPriority w:val="99"/>
    <w:semiHidden/>
    <w:rsid w:val="006112C8"/>
    <w:rPr>
      <w:rFonts w:ascii="Garamond" w:eastAsia="Times New Roman" w:hAnsi="Garamond" w:cs="Times New Roman"/>
      <w:szCs w:val="20"/>
    </w:rPr>
  </w:style>
  <w:style w:type="paragraph" w:styleId="ListParagraph">
    <w:name w:val="List Paragraph"/>
    <w:basedOn w:val="Normal"/>
    <w:uiPriority w:val="34"/>
    <w:qFormat/>
    <w:rsid w:val="005D5197"/>
    <w:pPr>
      <w:numPr>
        <w:numId w:val="3"/>
      </w:numPr>
      <w:overflowPunct w:val="0"/>
      <w:autoSpaceDE w:val="0"/>
      <w:autoSpaceDN w:val="0"/>
      <w:adjustRightInd w:val="0"/>
      <w:ind w:left="720"/>
      <w:textAlignment w:val="baseline"/>
    </w:pPr>
  </w:style>
  <w:style w:type="paragraph" w:styleId="Header">
    <w:name w:val="header"/>
    <w:basedOn w:val="Normal"/>
    <w:link w:val="HeaderChar"/>
    <w:uiPriority w:val="99"/>
    <w:unhideWhenUsed/>
    <w:rsid w:val="0004182B"/>
    <w:pPr>
      <w:tabs>
        <w:tab w:val="center" w:pos="4680"/>
        <w:tab w:val="right" w:pos="9360"/>
      </w:tabs>
    </w:pPr>
  </w:style>
  <w:style w:type="character" w:customStyle="1" w:styleId="HeaderChar">
    <w:name w:val="Header Char"/>
    <w:basedOn w:val="DefaultParagraphFont"/>
    <w:link w:val="Header"/>
    <w:uiPriority w:val="99"/>
    <w:rsid w:val="0004182B"/>
    <w:rPr>
      <w:rFonts w:ascii="Garamond" w:eastAsia="Times New Roman" w:hAnsi="Garamond" w:cs="Times New Roman"/>
      <w:szCs w:val="20"/>
    </w:rPr>
  </w:style>
  <w:style w:type="paragraph" w:styleId="Footer">
    <w:name w:val="footer"/>
    <w:basedOn w:val="Normal"/>
    <w:link w:val="FooterChar"/>
    <w:uiPriority w:val="99"/>
    <w:unhideWhenUsed/>
    <w:rsid w:val="00D751C1"/>
    <w:pPr>
      <w:tabs>
        <w:tab w:val="center" w:pos="4680"/>
        <w:tab w:val="right" w:pos="9360"/>
      </w:tabs>
      <w:jc w:val="right"/>
    </w:pPr>
  </w:style>
  <w:style w:type="character" w:customStyle="1" w:styleId="FooterChar">
    <w:name w:val="Footer Char"/>
    <w:basedOn w:val="DefaultParagraphFont"/>
    <w:link w:val="Footer"/>
    <w:uiPriority w:val="99"/>
    <w:rsid w:val="00D751C1"/>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7336E8"/>
    <w:rPr>
      <w:rFonts w:ascii="Tahoma" w:hAnsi="Tahoma" w:cs="Tahoma"/>
      <w:sz w:val="16"/>
      <w:szCs w:val="16"/>
    </w:rPr>
  </w:style>
  <w:style w:type="character" w:customStyle="1" w:styleId="BalloonTextChar">
    <w:name w:val="Balloon Text Char"/>
    <w:basedOn w:val="DefaultParagraphFont"/>
    <w:link w:val="BalloonText"/>
    <w:uiPriority w:val="99"/>
    <w:semiHidden/>
    <w:rsid w:val="007336E8"/>
    <w:rPr>
      <w:rFonts w:ascii="Tahoma" w:eastAsia="Times New Roman" w:hAnsi="Tahoma" w:cs="Tahoma"/>
      <w:sz w:val="16"/>
      <w:szCs w:val="16"/>
    </w:rPr>
  </w:style>
  <w:style w:type="character" w:styleId="Hyperlink">
    <w:name w:val="Hyperlink"/>
    <w:basedOn w:val="DefaultParagraphFont"/>
    <w:uiPriority w:val="99"/>
    <w:unhideWhenUsed/>
    <w:qFormat/>
    <w:rsid w:val="00085D6E"/>
    <w:rPr>
      <w:color w:val="0000FF" w:themeColor="hyperlink"/>
      <w:u w:val="single"/>
    </w:rPr>
  </w:style>
  <w:style w:type="paragraph" w:styleId="Title">
    <w:name w:val="Title"/>
    <w:basedOn w:val="Normal"/>
    <w:next w:val="Normal"/>
    <w:link w:val="TitleChar"/>
    <w:uiPriority w:val="10"/>
    <w:qFormat/>
    <w:rsid w:val="006F5E1A"/>
    <w:pPr>
      <w:jc w:val="center"/>
    </w:pPr>
    <w:rPr>
      <w:b/>
      <w:caps/>
      <w:sz w:val="40"/>
      <w:szCs w:val="40"/>
    </w:rPr>
  </w:style>
  <w:style w:type="character" w:customStyle="1" w:styleId="TitleChar">
    <w:name w:val="Title Char"/>
    <w:basedOn w:val="DefaultParagraphFont"/>
    <w:link w:val="Title"/>
    <w:uiPriority w:val="10"/>
    <w:rsid w:val="006F5E1A"/>
    <w:rPr>
      <w:rFonts w:ascii="Times New Roman" w:eastAsia="Times New Roman" w:hAnsi="Times New Roman" w:cs="Times New Roman"/>
      <w:b/>
      <w:caps/>
      <w:sz w:val="40"/>
      <w:szCs w:val="40"/>
    </w:rPr>
  </w:style>
  <w:style w:type="paragraph" w:styleId="Subtitle">
    <w:name w:val="Subtitle"/>
    <w:basedOn w:val="Normal"/>
    <w:next w:val="Normal"/>
    <w:link w:val="SubtitleChar"/>
    <w:uiPriority w:val="11"/>
    <w:qFormat/>
    <w:rsid w:val="006F5E1A"/>
    <w:pPr>
      <w:jc w:val="center"/>
    </w:pPr>
    <w:rPr>
      <w:b/>
      <w:caps/>
    </w:rPr>
  </w:style>
  <w:style w:type="character" w:customStyle="1" w:styleId="SubtitleChar">
    <w:name w:val="Subtitle Char"/>
    <w:basedOn w:val="DefaultParagraphFont"/>
    <w:link w:val="Subtitle"/>
    <w:uiPriority w:val="11"/>
    <w:rsid w:val="006F5E1A"/>
    <w:rPr>
      <w:rFonts w:ascii="Times New Roman" w:eastAsia="Times New Roman" w:hAnsi="Times New Roman" w:cs="Times New Roman"/>
      <w:b/>
      <w:caps/>
    </w:rPr>
  </w:style>
  <w:style w:type="character" w:styleId="SubtleReference">
    <w:name w:val="Subtle Reference"/>
    <w:uiPriority w:val="31"/>
    <w:qFormat/>
    <w:rsid w:val="006F5E1A"/>
    <w:rPr>
      <w:rFonts w:ascii="Times New Roman" w:hAnsi="Times New Roman"/>
      <w:sz w:val="16"/>
      <w:szCs w:val="16"/>
    </w:rPr>
  </w:style>
  <w:style w:type="paragraph" w:styleId="Caption">
    <w:name w:val="caption"/>
    <w:basedOn w:val="Normal"/>
    <w:next w:val="Normal"/>
    <w:uiPriority w:val="35"/>
    <w:unhideWhenUsed/>
    <w:qFormat/>
    <w:rsid w:val="00C36356"/>
    <w:pPr>
      <w:jc w:val="center"/>
    </w:pPr>
    <w:rPr>
      <w:b/>
      <w:sz w:val="16"/>
      <w:szCs w:val="16"/>
    </w:rPr>
  </w:style>
  <w:style w:type="character" w:customStyle="1" w:styleId="Heading1Char">
    <w:name w:val="Heading 1 Char"/>
    <w:basedOn w:val="DefaultParagraphFont"/>
    <w:link w:val="Heading1"/>
    <w:uiPriority w:val="9"/>
    <w:rsid w:val="00942B2E"/>
    <w:rPr>
      <w:rFonts w:ascii="Times New Roman" w:eastAsia="Times New Roman" w:hAnsi="Times New Roman" w:cs="Times New Roman"/>
      <w:b/>
      <w:caps/>
    </w:rPr>
  </w:style>
  <w:style w:type="paragraph" w:styleId="TOC1">
    <w:name w:val="toc 1"/>
    <w:basedOn w:val="Normal"/>
    <w:next w:val="Normal"/>
    <w:autoRedefine/>
    <w:uiPriority w:val="39"/>
    <w:unhideWhenUsed/>
    <w:rsid w:val="00C36356"/>
    <w:pPr>
      <w:tabs>
        <w:tab w:val="left" w:pos="360"/>
        <w:tab w:val="right" w:pos="10080"/>
      </w:tabs>
    </w:pPr>
    <w:rPr>
      <w:b/>
    </w:rPr>
  </w:style>
  <w:style w:type="paragraph" w:styleId="TOC2">
    <w:name w:val="toc 2"/>
    <w:basedOn w:val="Normal"/>
    <w:next w:val="Normal"/>
    <w:autoRedefine/>
    <w:uiPriority w:val="39"/>
    <w:unhideWhenUsed/>
    <w:rsid w:val="00C36356"/>
    <w:pPr>
      <w:tabs>
        <w:tab w:val="left" w:pos="360"/>
        <w:tab w:val="right" w:pos="10080"/>
      </w:tabs>
    </w:pPr>
    <w:rPr>
      <w:b/>
    </w:rPr>
  </w:style>
  <w:style w:type="paragraph" w:styleId="TableofFigures">
    <w:name w:val="table of figures"/>
    <w:basedOn w:val="Normal"/>
    <w:next w:val="Normal"/>
    <w:uiPriority w:val="99"/>
    <w:unhideWhenUsed/>
    <w:rsid w:val="00C36356"/>
    <w:pPr>
      <w:tabs>
        <w:tab w:val="left" w:pos="1080"/>
      </w:tabs>
      <w:ind w:left="1080" w:hanging="1080"/>
    </w:pPr>
  </w:style>
  <w:style w:type="paragraph" w:styleId="TableofAuthorities">
    <w:name w:val="table of authorities"/>
    <w:basedOn w:val="Normal"/>
    <w:next w:val="Normal"/>
    <w:uiPriority w:val="99"/>
    <w:unhideWhenUsed/>
    <w:rsid w:val="00C36356"/>
  </w:style>
  <w:style w:type="character" w:customStyle="1" w:styleId="Heading2Char">
    <w:name w:val="Heading 2 Char"/>
    <w:basedOn w:val="DefaultParagraphFont"/>
    <w:link w:val="Heading2"/>
    <w:uiPriority w:val="9"/>
    <w:rsid w:val="00942B2E"/>
    <w:rPr>
      <w:rFonts w:ascii="Times New Roman" w:eastAsia="Times New Roman" w:hAnsi="Times New Roman" w:cs="Times New Roman"/>
      <w:b/>
      <w:u w:val="single"/>
    </w:rPr>
  </w:style>
  <w:style w:type="character" w:styleId="IntenseEmphasis">
    <w:name w:val="Intense Emphasis"/>
    <w:aliases w:val="Statute Quote"/>
    <w:uiPriority w:val="21"/>
    <w:qFormat/>
    <w:rsid w:val="005D5197"/>
    <w:rPr>
      <w:rFonts w:ascii="Times New Roman" w:hAnsi="Times New Roman"/>
      <w:b/>
      <w:i/>
      <w:szCs w:val="22"/>
    </w:rPr>
  </w:style>
  <w:style w:type="character" w:styleId="Emphasis">
    <w:name w:val="Emphasis"/>
    <w:aliases w:val="Statute QUOTE,A LEVEL"/>
    <w:basedOn w:val="subsect"/>
    <w:uiPriority w:val="20"/>
    <w:qFormat/>
    <w:rsid w:val="00D751C1"/>
    <w:rPr>
      <w:rFonts w:ascii="Times New Roman" w:hAnsi="Times New Roman"/>
      <w:i/>
      <w:sz w:val="22"/>
      <w:szCs w:val="22"/>
    </w:rPr>
  </w:style>
  <w:style w:type="character" w:styleId="SubtleEmphasis">
    <w:name w:val="Subtle Emphasis"/>
    <w:aliases w:val="STATUTE QUOTE SMALL ROMAN NUMERAL"/>
    <w:basedOn w:val="para"/>
    <w:uiPriority w:val="19"/>
    <w:qFormat/>
    <w:rsid w:val="00D751C1"/>
    <w:rPr>
      <w:rFonts w:ascii="Times New Roman" w:hAnsi="Times New Roman"/>
      <w:i/>
      <w:sz w:val="22"/>
      <w:szCs w:val="22"/>
    </w:rPr>
  </w:style>
  <w:style w:type="character" w:customStyle="1" w:styleId="Heading4Char">
    <w:name w:val="Heading 4 Char"/>
    <w:basedOn w:val="DefaultParagraphFont"/>
    <w:link w:val="Heading4"/>
    <w:uiPriority w:val="9"/>
    <w:rsid w:val="00D751C1"/>
    <w:rPr>
      <w:rFonts w:ascii="Times New Roman" w:eastAsia="Times New Roman" w:hAnsi="Times New Roman" w:cs="Times New Roman"/>
      <w:b/>
      <w:sz w:val="36"/>
      <w:szCs w:val="36"/>
    </w:rPr>
  </w:style>
  <w:style w:type="paragraph" w:styleId="Date">
    <w:name w:val="Date"/>
    <w:basedOn w:val="Subtitle"/>
    <w:next w:val="Normal"/>
    <w:link w:val="DateChar"/>
    <w:uiPriority w:val="99"/>
    <w:unhideWhenUsed/>
    <w:rsid w:val="007E39F4"/>
  </w:style>
  <w:style w:type="character" w:customStyle="1" w:styleId="DateChar">
    <w:name w:val="Date Char"/>
    <w:basedOn w:val="DefaultParagraphFont"/>
    <w:link w:val="Date"/>
    <w:uiPriority w:val="99"/>
    <w:rsid w:val="007E39F4"/>
    <w:rPr>
      <w:rFonts w:ascii="Times New Roman" w:eastAsia="Times New Roman" w:hAnsi="Times New Roman" w:cs="Times New Roman"/>
      <w:b/>
      <w:caps/>
    </w:rPr>
  </w:style>
  <w:style w:type="paragraph" w:customStyle="1" w:styleId="Author">
    <w:name w:val="Author"/>
    <w:basedOn w:val="Subtitle"/>
    <w:qFormat/>
    <w:rsid w:val="00A76848"/>
  </w:style>
  <w:style w:type="paragraph" w:customStyle="1" w:styleId="affiliation">
    <w:name w:val="affiliation"/>
    <w:basedOn w:val="Author"/>
    <w:qFormat/>
    <w:rsid w:val="00496828"/>
  </w:style>
  <w:style w:type="paragraph" w:styleId="TOAHeading">
    <w:name w:val="toa heading"/>
    <w:basedOn w:val="Normal"/>
    <w:next w:val="Normal"/>
    <w:uiPriority w:val="99"/>
    <w:unhideWhenUsed/>
    <w:rsid w:val="00997790"/>
    <w:pPr>
      <w:spacing w:before="120"/>
    </w:pPr>
    <w:rPr>
      <w:rFonts w:asciiTheme="majorHAnsi" w:eastAsiaTheme="majorEastAsia" w:hAnsiTheme="majorHAnsi" w:cstheme="majorBidi"/>
      <w:b/>
      <w:bCs/>
      <w:sz w:val="24"/>
      <w:szCs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cp:lastModifiedBy>Tim Moloney</cp:lastModifiedBy>
  <cp:revision>2</cp:revision>
  <dcterms:created xsi:type="dcterms:W3CDTF">2022-08-31T22:12:00Z</dcterms:created>
  <dcterms:modified xsi:type="dcterms:W3CDTF">2022-08-31T22:12:00Z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