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360" w:before="240" w:after="120"/>
        <w:jc w:val="start"/>
        <w:rPr>
          <w:rFonts w:ascii="Arial" w:hAnsi="Arial"/>
        </w:rPr>
      </w:pPr>
      <w:r>
        <w:rPr>
          <w:rFonts w:ascii="Arial" w:hAnsi="Arial"/>
        </w:rPr>
        <w:t>Overview</w:t>
      </w:r>
    </w:p>
    <w:p>
      <w:pPr>
        <w:pStyle w:val="TextBody"/>
        <w:bidi w:val="0"/>
        <w:rPr/>
      </w:pPr>
      <w:r>
        <w:rPr>
          <w:rFonts w:ascii="Arial" w:hAnsi="Arial"/>
        </w:rPr>
        <w:t xml:space="preserve">In this assignment, we will be using </w:t>
      </w:r>
      <w:r>
        <w:rPr>
          <w:rFonts w:ascii="Courier New" w:hAnsi="Courier New"/>
        </w:rPr>
        <w:t>NEURON-Python</w:t>
      </w:r>
      <w:r>
        <w:rPr>
          <w:rFonts w:ascii="Arial" w:hAnsi="Arial"/>
        </w:rPr>
        <w:t xml:space="preserve"> to simulate the activity of a network of neurons across the subthalamic nucleus (STN) and the Globus Pallidus pars externa (G</w:t>
      </w:r>
      <w:r>
        <w:rPr>
          <w:rFonts w:ascii="Arial" w:hAnsi="Arial"/>
        </w:rPr>
        <w:t>P</w:t>
      </w:r>
      <w:r>
        <w:rPr>
          <w:rFonts w:ascii="Arial" w:hAnsi="Arial"/>
        </w:rPr>
        <w:t xml:space="preserve">e). </w:t>
      </w:r>
      <w:r>
        <w:rPr>
          <w:rFonts w:ascii="Arial" w:hAnsi="Arial"/>
        </w:rPr>
        <w:t xml:space="preserve">In this project, we simulated 3 STN and 3 GPe neurons. The STN neurons provide excitatory input to GPe and GPe provides inhibitory feedback to the STN. Each of these connections have a weight which signifies how active the postsynaptic cell will be after receiving the stimulation. </w:t>
      </w:r>
    </w:p>
    <w:p>
      <w:pPr>
        <w:pStyle w:val="TextBody"/>
        <w:bidi w:val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1160780</wp:posOffset>
                </wp:positionH>
                <wp:positionV relativeFrom="paragraph">
                  <wp:posOffset>390525</wp:posOffset>
                </wp:positionV>
                <wp:extent cx="796925" cy="79692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796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729fcf" stroked="t" o:allowincell="f" style="position:absolute;margin-left:91.4pt;margin-top:30.75pt;width:62.65pt;height:62.65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STN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390525</wp:posOffset>
                </wp:positionV>
                <wp:extent cx="796925" cy="79692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796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fillcolor="#729fcf" stroked="t" o:allowincell="f" style="position:absolute;margin-left:291.95pt;margin-top:30.75pt;width:62.65pt;height:62.65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GPe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1844675</wp:posOffset>
                </wp:positionH>
                <wp:positionV relativeFrom="paragraph">
                  <wp:posOffset>517525</wp:posOffset>
                </wp:positionV>
                <wp:extent cx="1974215" cy="8890"/>
                <wp:effectExtent l="0" t="0" r="0" b="0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0" cy="828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bCs/>
                                <w:rFonts w:ascii="Courier New" w:hAnsi="Courier New"/>
                              </w:rPr>
                              <w:t>h.NetCon.weight[0]</w:t>
                            </w:r>
                            <w:r>
                              <w:rPr>
                                <w:sz w:val="14"/>
                                <w:b/>
                                <w:szCs w:val="14"/>
                                <w:bCs/>
                              </w:rPr>
                              <w:t xml:space="preserve"> for GPe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5.25pt,40.75pt" to="300.6pt,41.35pt" ID="Line 1" stroked="t" o:allowincell="f" style="position:absolut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bCs/>
                          <w:rFonts w:ascii="Courier New" w:hAnsi="Courier New"/>
                        </w:rPr>
                        <w:t>h.NetCon.weight[0]</w:t>
                      </w:r>
                      <w:r>
                        <w:rPr>
                          <w:sz w:val="14"/>
                          <w:b/>
                          <w:szCs w:val="14"/>
                          <w:bCs/>
                        </w:rPr>
                        <w:t xml:space="preserve"> for GPe</w:t>
                      </w:r>
                    </w:p>
                  </w:txbxContent>
                </v:textbox>
                <v:stroke color="#3465a4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1844675</wp:posOffset>
                </wp:positionH>
                <wp:positionV relativeFrom="paragraph">
                  <wp:posOffset>998220</wp:posOffset>
                </wp:positionV>
                <wp:extent cx="1923415" cy="635"/>
                <wp:effectExtent l="0" t="0" r="0" b="0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60" cy="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bCs/>
                                <w:rFonts w:ascii="Courier New" w:hAnsi="Courier New"/>
                              </w:rPr>
                              <w:t>h.NetCon.weight[0]</w:t>
                            </w:r>
                            <w:r>
                              <w:rPr>
                                <w:sz w:val="14"/>
                                <w:b/>
                                <w:szCs w:val="14"/>
                                <w:bCs/>
                              </w:rPr>
                              <w:t xml:space="preserve"> for STN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5.25pt,78.6pt" to="296.6pt,78.6pt" ID="Line 2" stroked="t" o:allowincell="f" style="position:absolut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bCs/>
                          <w:rFonts w:ascii="Courier New" w:hAnsi="Courier New"/>
                        </w:rPr>
                        <w:t>h.NetCon.weight[0]</w:t>
                      </w:r>
                      <w:r>
                        <w:rPr>
                          <w:sz w:val="14"/>
                          <w:b/>
                          <w:szCs w:val="14"/>
                          <w:bCs/>
                        </w:rPr>
                        <w:t xml:space="preserve"> for STN</w:t>
                      </w:r>
                    </w:p>
                  </w:txbxContent>
                </v:textbox>
                <v:stroke color="#3465a4" startarrow="block" startarrowwidth="medium" startarrowlength="medium" joinstyle="round" endcap="round"/>
                <v:fill o:detectmouseclick="t" on="false"/>
                <w10:wrap type="none"/>
              </v:line>
            </w:pict>
          </mc:Fallback>
        </mc:AlternateContent>
      </w:r>
      <w:r>
        <w:rPr/>
        <w:br/>
        <w:br/>
        <w:br/>
        <w:br/>
        <w:br/>
      </w:r>
    </w:p>
    <w:p>
      <w:pPr>
        <w:pStyle w:val="TextBody"/>
        <w:bidi w:val="0"/>
        <w:rPr>
          <w:sz w:val="20"/>
          <w:szCs w:val="24"/>
        </w:rPr>
      </w:pPr>
      <w:r>
        <w:rPr>
          <w:b/>
          <w:bCs/>
          <w:sz w:val="20"/>
          <w:szCs w:val="24"/>
        </w:rPr>
        <w:t xml:space="preserve">Figure 1. </w:t>
      </w:r>
      <w:r>
        <w:rPr>
          <w:sz w:val="20"/>
          <w:szCs w:val="24"/>
        </w:rPr>
        <w:t xml:space="preserve">Connectivity between STN and GPe. The </w:t>
      </w:r>
      <w:r>
        <w:rPr>
          <w:sz w:val="20"/>
          <w:szCs w:val="24"/>
        </w:rPr>
        <w:t>dendritic synaptic</w:t>
      </w:r>
      <w:r>
        <w:rPr>
          <w:sz w:val="20"/>
          <w:szCs w:val="24"/>
        </w:rPr>
        <w:t xml:space="preserve"> strenght </w:t>
      </w:r>
      <w:r>
        <w:rPr>
          <w:sz w:val="20"/>
          <w:szCs w:val="24"/>
        </w:rPr>
        <w:t xml:space="preserve">for the incoming connection </w:t>
      </w:r>
      <w:r>
        <w:rPr>
          <w:sz w:val="20"/>
          <w:szCs w:val="24"/>
        </w:rPr>
        <w:t xml:space="preserve">is signified by the </w:t>
      </w:r>
      <w:r>
        <w:rPr>
          <w:sz w:val="20"/>
          <w:szCs w:val="24"/>
        </w:rPr>
        <w:t>h.NetCon.weight[0] variable in neuron. We will signify the value for STN neurons as stn_con_wt and for GPe as gpe_con_wt.</w:t>
      </w:r>
    </w:p>
    <w:p>
      <w:pPr>
        <w:pStyle w:val="TextBody"/>
        <w:bidi w:val="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TextBody"/>
        <w:bidi w:val="0"/>
        <w:jc w:val="start"/>
        <w:rPr>
          <w:rFonts w:ascii="Arial" w:hAnsi="Arial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 xml:space="preserve">In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 xml:space="preserve">this report, we varied the connection weights.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 xml:space="preserve">We tried a grid of 10, 15, and 20 for each of the GPe and STN synaptic strengths.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>We opened a random seed on 10 (</w:t>
      </w:r>
      <w:r>
        <w:rPr>
          <w:rFonts w:eastAsia="Noto Serif CJK SC" w:cs="Lohit Devanagari" w:ascii="Courier New" w:hAnsi="Courier New"/>
          <w:color w:val="auto"/>
          <w:kern w:val="2"/>
          <w:sz w:val="24"/>
          <w:szCs w:val="24"/>
          <w:lang w:val="en-CA" w:eastAsia="zh-CN" w:bidi="hi-IN"/>
        </w:rPr>
        <w:t>random.seed(10)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 xml:space="preserve">), so that experiment repeats are comparable in the smaller sample size. This disclaimer should apply to the analysis here, that the </w:t>
      </w:r>
      <w:r>
        <w:rPr>
          <w:rFonts w:eastAsia="Noto Serif CJK SC" w:cs="Lohit Devanagari" w:ascii="Arial" w:hAnsi="Arial"/>
          <w:i/>
          <w:iCs/>
          <w:color w:val="auto"/>
          <w:kern w:val="2"/>
          <w:sz w:val="24"/>
          <w:szCs w:val="24"/>
          <w:lang w:val="en-CA" w:eastAsia="zh-CN" w:bidi="hi-IN"/>
        </w:rPr>
        <w:t>n</w:t>
      </w: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n-CA" w:eastAsia="zh-CN" w:bidi="hi-IN"/>
        </w:rPr>
        <w:t xml:space="preserve"> is very small and making a statement comes at the significant risk of over-generalization.</w:t>
      </w:r>
    </w:p>
    <w:p>
      <w:pPr>
        <w:pStyle w:val="TextBody"/>
        <w:bidi w:val="0"/>
        <w:jc w:val="start"/>
        <w:rPr>
          <w:rFonts w:ascii="Arial" w:hAnsi="Arial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n-CA" w:eastAsia="zh-CN" w:bidi="hi-IN"/>
        </w:rPr>
        <w:t xml:space="preserve">The code for this trial can be accessed on </w:t>
      </w:r>
      <w:hyperlink r:id="rId2">
        <w:r>
          <w:rPr>
            <w:rStyle w:val="InternetLink"/>
            <w:rFonts w:eastAsia="Noto Serif CJK SC" w:cs="Lohit Devanagari" w:ascii="Arial" w:hAnsi="Arial"/>
            <w:i w:val="false"/>
            <w:iCs w:val="false"/>
            <w:color w:val="auto"/>
            <w:kern w:val="2"/>
            <w:sz w:val="24"/>
            <w:szCs w:val="24"/>
            <w:lang w:val="en-CA" w:eastAsia="zh-CN" w:bidi="hi-IN"/>
          </w:rPr>
          <w:t>https://github.com/tmorshed/jpb-1071/</w:t>
        </w:r>
      </w:hyperlink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n-CA" w:eastAsia="zh-CN" w:bidi="hi-IN"/>
        </w:rPr>
        <w:t xml:space="preserve">. The file executing the simulation can be accessed at </w:t>
      </w:r>
      <w:hyperlink r:id="rId3">
        <w:r>
          <w:rPr>
            <w:rStyle w:val="InternetLink"/>
            <w:rFonts w:eastAsia="Noto Serif CJK SC" w:cs="Lohit Devanagari" w:ascii="Arial" w:hAnsi="Arial"/>
            <w:i w:val="false"/>
            <w:iCs w:val="false"/>
            <w:color w:val="auto"/>
            <w:kern w:val="2"/>
            <w:sz w:val="24"/>
            <w:szCs w:val="24"/>
            <w:lang w:val="en-CA" w:eastAsia="zh-CN" w:bidi="hi-IN"/>
          </w:rPr>
          <w:t>this link</w:t>
        </w:r>
      </w:hyperlink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n-CA" w:eastAsia="zh-CN" w:bidi="hi-IN"/>
        </w:rPr>
        <w:t>.</w:t>
      </w:r>
    </w:p>
    <w:p>
      <w:pPr>
        <w:pStyle w:val="TextBody"/>
        <w:bidi w:val="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CA" w:eastAsia="zh-CN" w:bidi="hi-IN"/>
        </w:rPr>
      </w:r>
      <w:r>
        <w:br w:type="page"/>
      </w:r>
    </w:p>
    <w:p>
      <w:pPr>
        <w:pStyle w:val="Heading2"/>
        <w:rPr/>
      </w:pPr>
      <w:r>
        <w:rPr/>
        <w:t>Observation 1:</w:t>
      </w:r>
    </w:p>
    <w:p>
      <w:pPr>
        <w:pStyle w:val="TextBody"/>
        <w:bidi w:val="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If we increases the GPe connection strength while keeping the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STN connection strength constant, we will see an increase in the firing rate in the GPe neurons. They visibly seem to fire more often.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This is expected, as the incoming connection to the GPe from the STN is excitatory (reversal potential = 0 mV).</w:t>
      </w:r>
    </w:p>
    <w:p>
      <w:pPr>
        <w:pStyle w:val="TextBody"/>
        <w:bidi w:val="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3165475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6332220" cy="3165475"/>
            <wp:effectExtent l="0" t="0" r="0" b="0"/>
            <wp:wrapSquare wrapText="largest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CA" w:eastAsia="zh-CN" w:bidi="hi-IN"/>
        </w:rPr>
        <w:br/>
      </w:r>
      <w:r>
        <w:br w:type="page"/>
      </w:r>
    </w:p>
    <w:p>
      <w:pPr>
        <w:pStyle w:val="TextBody"/>
        <w:bidi w:val="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5475"/>
            <wp:effectExtent l="0" t="0" r="0" b="0"/>
            <wp:wrapSquare wrapText="largest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5475"/>
            <wp:effectExtent l="0" t="0" r="0" b="0"/>
            <wp:wrapSquare wrapText="largest"/>
            <wp:docPr id="8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5475"/>
            <wp:effectExtent l="0" t="0" r="0" b="0"/>
            <wp:wrapSquare wrapText="largest"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CA" w:eastAsia="zh-CN" w:bidi="hi-IN"/>
        </w:rPr>
        <w:br/>
      </w:r>
      <w:r>
        <w:br w:type="page"/>
      </w:r>
    </w:p>
    <w:p>
      <w:pPr>
        <w:pStyle w:val="Heading2"/>
        <w:rPr/>
      </w:pPr>
      <w:r>
        <w:rPr/>
        <w:t xml:space="preserve">Observation </w:t>
      </w:r>
      <w:r>
        <w:rPr/>
        <w:t>2</w:t>
      </w:r>
      <w:r>
        <w:rPr/>
        <w:t>:</w:t>
      </w:r>
    </w:p>
    <w:p>
      <w:pPr>
        <w:pStyle w:val="TextBody"/>
        <w:bidi w:val="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If we increases the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STN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connection strength while keeping the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GPe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 connection strength constant, we will see an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decrease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in the firing rate in the GPe neurons.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This is expected, as the incoming connection to the STN from the GPe is inhibitory (reversal potential = -85 mV).</w:t>
      </w:r>
    </w:p>
    <w:p>
      <w:pPr>
        <w:pStyle w:val="TextBody"/>
        <w:bidi w:val="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3165475"/>
            <wp:effectExtent l="0" t="0" r="0" b="0"/>
            <wp:wrapSquare wrapText="largest"/>
            <wp:docPr id="10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6332220" cy="3165475"/>
            <wp:effectExtent l="0" t="0" r="0" b="0"/>
            <wp:wrapSquare wrapText="largest"/>
            <wp:docPr id="1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CA" w:eastAsia="zh-CN" w:bidi="hi-IN"/>
        </w:rPr>
        <w:br/>
      </w:r>
    </w:p>
    <w:p>
      <w:pPr>
        <w:pStyle w:val="TextBody"/>
        <w:bidi w:val="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CA" w:eastAsia="zh-CN" w:bidi="hi-IN"/>
        </w:rPr>
        <w:br/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5475"/>
            <wp:effectExtent l="0" t="0" r="0" b="0"/>
            <wp:wrapSquare wrapText="largest"/>
            <wp:docPr id="1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CA" w:eastAsia="zh-CN" w:bidi="hi-IN"/>
        </w:rPr>
        <w:br/>
      </w:r>
      <w:r>
        <w:br w:type="page"/>
      </w:r>
    </w:p>
    <w:p>
      <w:pPr>
        <w:pStyle w:val="Heading1"/>
        <w:rPr/>
      </w:pPr>
      <w:r>
        <w:rPr/>
        <w:t>All observations: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1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>
        <w:sz w:val="20"/>
        <w:szCs w:val="24"/>
      </w:rPr>
    </w:pPr>
    <w:r>
      <w:rPr>
        <w:rFonts w:ascii="Arial" w:hAnsi="Arial"/>
        <w:sz w:val="20"/>
        <w:szCs w:val="24"/>
      </w:rPr>
      <w:t xml:space="preserve">Page </w:t>
    </w:r>
    <w:r>
      <w:rPr>
        <w:rFonts w:ascii="Arial" w:hAnsi="Arial"/>
        <w:sz w:val="20"/>
        <w:szCs w:val="24"/>
      </w:rPr>
      <w:fldChar w:fldCharType="begin"/>
    </w:r>
    <w:r>
      <w:rPr>
        <w:sz w:val="20"/>
        <w:szCs w:val="24"/>
        <w:rFonts w:ascii="Arial" w:hAnsi="Arial"/>
      </w:rPr>
      <w:instrText> PAGE </w:instrText>
    </w:r>
    <w:r>
      <w:rPr>
        <w:sz w:val="20"/>
        <w:szCs w:val="24"/>
        <w:rFonts w:ascii="Arial" w:hAnsi="Arial"/>
      </w:rPr>
      <w:fldChar w:fldCharType="separate"/>
    </w:r>
    <w:r>
      <w:rPr>
        <w:sz w:val="20"/>
        <w:szCs w:val="24"/>
        <w:rFonts w:ascii="Arial" w:hAnsi="Arial"/>
      </w:rPr>
      <w:t>6</w:t>
    </w:r>
    <w:r>
      <w:rPr>
        <w:sz w:val="20"/>
        <w:szCs w:val="24"/>
        <w:rFonts w:ascii="Arial" w:hAnsi="Arial"/>
      </w:rPr>
      <w:fldChar w:fldCharType="end"/>
    </w:r>
    <w:r>
      <w:rPr>
        <w:rFonts w:ascii="Arial" w:hAnsi="Arial"/>
        <w:sz w:val="20"/>
        <w:szCs w:val="24"/>
      </w:rPr>
      <w:tab/>
      <w:t>JPB1071 – NEURON Assignment</w:t>
      <w:tab/>
      <w:t xml:space="preserve"> 19-April-2020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morshed/jpb-1071/" TargetMode="External"/><Relationship Id="rId3" Type="http://schemas.openxmlformats.org/officeDocument/2006/relationships/hyperlink" Target="https://github.com/tmorshed/jpb-1071/blob/main/example/example.py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LibreOffice/7.2.6.2$Linux_X86_64 LibreOffice_project/20$Build-2</Application>
  <AppVersion>15.0000</AppVersion>
  <Pages>6</Pages>
  <Words>319</Words>
  <Characters>1627</Characters>
  <CharactersWithSpaces>1949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2022-04-19T18:53:06Z</dcterms:created>
  <dc:creator/>
  <dc:description/>
  <dc:language>en-CA</dc:language>
  <cp:lastModifiedBy/>
  <dcterms:modified xsi:type="dcterms:W3CDTF">2022-04-19T20:41:24Z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id="zVGELDMX"/&gt;&lt;style id="http://www.zotero.org/styles/ieee" locale="en-CA" hasBibliography="1" bibliographyStyleHasBeenSet="0"/&gt;&lt;prefs&gt;&lt;pref name="fieldType" value="ReferenceMark"/&gt;&lt;pref name="automa</vt:lpwstr>
  </property>
  <property fmtid="{D5CDD505-2E9C-101B-9397-08002B2CF9AE}" pid="3" name="ZOTERO_PREF_2">
    <vt:lpwstr>ticJournalAbbreviations" value="true"/&gt;&lt;/prefs&gt;&lt;/data&gt;</vt:lpwstr>
  </property>
</Properties>
</file>