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F2BE" w14:textId="01B76F39" w:rsidR="007A3BAE" w:rsidRPr="007A3BAE" w:rsidRDefault="007A3BAE" w:rsidP="007A3BAE">
      <w:pPr>
        <w:pStyle w:val="Nadpis2"/>
        <w:rPr>
          <w:rFonts w:asciiTheme="minorHAnsi" w:eastAsiaTheme="minorEastAsia" w:hAnsiTheme="minorHAnsi" w:cstheme="minorBidi"/>
          <w:sz w:val="36"/>
          <w:szCs w:val="36"/>
        </w:rPr>
      </w:pPr>
      <w:r w:rsidRPr="007A3BAE">
        <w:rPr>
          <w:rFonts w:asciiTheme="minorHAnsi" w:eastAsiaTheme="minorEastAsia" w:hAnsiTheme="minorHAnsi" w:cstheme="minorBidi"/>
          <w:sz w:val="36"/>
          <w:szCs w:val="36"/>
        </w:rPr>
        <w:t>Komunikace pro klienty Sberbank</w:t>
      </w:r>
      <w:r w:rsidR="00761976">
        <w:rPr>
          <w:rFonts w:asciiTheme="minorHAnsi" w:eastAsiaTheme="minorEastAsia" w:hAnsiTheme="minorHAnsi" w:cstheme="minorBidi"/>
          <w:sz w:val="36"/>
          <w:szCs w:val="36"/>
        </w:rPr>
        <w:t xml:space="preserve"> CZ</w:t>
      </w:r>
    </w:p>
    <w:p w14:paraId="6234235F" w14:textId="370CB322" w:rsidR="007A3BAE" w:rsidRDefault="007A3BAE" w:rsidP="007A3BAE">
      <w:pPr>
        <w:pStyle w:val="Nadpis2"/>
        <w:rPr>
          <w:rFonts w:asciiTheme="minorHAnsi" w:eastAsiaTheme="minorEastAsia" w:hAnsiTheme="minorHAnsi" w:cstheme="minorBidi"/>
        </w:rPr>
      </w:pPr>
      <w:r w:rsidRPr="527A5E75">
        <w:rPr>
          <w:rFonts w:asciiTheme="minorHAnsi" w:eastAsiaTheme="minorEastAsia" w:hAnsiTheme="minorHAnsi" w:cstheme="minorBidi"/>
        </w:rPr>
        <w:t>Opatření ČNB vůči Sberbank CZ a pojištění vkladů</w:t>
      </w:r>
    </w:p>
    <w:p w14:paraId="053DE734" w14:textId="77777777" w:rsidR="007A3BAE" w:rsidRDefault="007A3BAE" w:rsidP="007A3BAE">
      <w:pPr>
        <w:rPr>
          <w:rFonts w:eastAsiaTheme="minorEastAsia"/>
        </w:rPr>
      </w:pPr>
      <w:r w:rsidRPr="527A5E75">
        <w:rPr>
          <w:rFonts w:eastAsiaTheme="minorEastAsia"/>
        </w:rPr>
        <w:t xml:space="preserve">Sdělte klientům Sberbank CZ, že v ČR jsou pojištěny všechny vklady fyzických a právnických osob vedené v českých korunách i v cizí měně do maximální výše ekvivalentu 100 000 EUR pro jednoho vkladatele u jedné banky, což se vztahuje i na klienty Sberbank CZ. </w:t>
      </w:r>
    </w:p>
    <w:p w14:paraId="32DB7AC0" w14:textId="77777777" w:rsidR="007A3BAE" w:rsidRDefault="007A3BAE" w:rsidP="007A3BAE">
      <w:pPr>
        <w:rPr>
          <w:rFonts w:eastAsiaTheme="minorEastAsia"/>
        </w:rPr>
      </w:pPr>
      <w:r w:rsidRPr="527A5E75">
        <w:rPr>
          <w:rFonts w:eastAsiaTheme="minorEastAsia"/>
        </w:rPr>
        <w:t>Výplatu náhrad za pohledávky z pojištěných vkladů provádí vždy Garanční systém, který také spravuje Fond pojištění vkladů. V případě klientů Sberbank CZ bude pojištění vyplácet Komerční banka.</w:t>
      </w:r>
    </w:p>
    <w:p w14:paraId="2900EED2" w14:textId="77777777" w:rsidR="007A3BAE" w:rsidRDefault="007A3BAE" w:rsidP="007A3BAE">
      <w:pPr>
        <w:rPr>
          <w:rFonts w:eastAsiaTheme="minorEastAsia"/>
        </w:rPr>
      </w:pPr>
      <w:r w:rsidRPr="527A5E75">
        <w:rPr>
          <w:rFonts w:eastAsiaTheme="minorEastAsia"/>
        </w:rPr>
        <w:t xml:space="preserve">V případě základních náhrad vkladů fyzických a právnických osob u Sberbank CZ zahájí Garanční systém výplatu nejpozději dne 9. března 2022. </w:t>
      </w:r>
    </w:p>
    <w:p w14:paraId="737A2F5B" w14:textId="77777777" w:rsidR="007A3BAE" w:rsidRDefault="007A3BAE" w:rsidP="007A3BAE">
      <w:pPr>
        <w:pStyle w:val="Nadpis2"/>
        <w:rPr>
          <w:rFonts w:asciiTheme="minorHAnsi" w:eastAsiaTheme="minorEastAsia" w:hAnsiTheme="minorHAnsi" w:cstheme="minorBidi"/>
        </w:rPr>
      </w:pPr>
      <w:r w:rsidRPr="527A5E75">
        <w:rPr>
          <w:rFonts w:asciiTheme="minorHAnsi" w:eastAsiaTheme="minorEastAsia" w:hAnsiTheme="minorHAnsi" w:cstheme="minorBidi"/>
        </w:rPr>
        <w:t>Mobilita klientů ze Sberbank CZ do ČSOB</w:t>
      </w:r>
    </w:p>
    <w:p w14:paraId="3177B344" w14:textId="77D056C2" w:rsidR="007A3BAE" w:rsidRPr="008C59DE" w:rsidRDefault="007A3BAE" w:rsidP="007A3BAE">
      <w:pPr>
        <w:rPr>
          <w:rFonts w:eastAsiaTheme="minorEastAsia"/>
        </w:rPr>
      </w:pPr>
      <w:r w:rsidRPr="527A5E75">
        <w:rPr>
          <w:rFonts w:eastAsiaTheme="minorEastAsia"/>
        </w:rPr>
        <w:t>Nedoporučujeme klientům využívat mobilitu, která za standardních podmínek trvá cca tři týdny až měsíc. Mobilitu klientům odcházejícím ze Sberbank CZ nemůžeme ze zákona upřít, nicméně nedokážeme v současné době klientovi zaručit:</w:t>
      </w:r>
    </w:p>
    <w:p w14:paraId="5824FF42" w14:textId="77777777" w:rsidR="007A3BAE" w:rsidRPr="008C59DE" w:rsidRDefault="007A3BAE" w:rsidP="007A3BAE">
      <w:pPr>
        <w:pStyle w:val="Odstavecseseznamem"/>
        <w:numPr>
          <w:ilvl w:val="0"/>
          <w:numId w:val="1"/>
        </w:numPr>
        <w:rPr>
          <w:rFonts w:asciiTheme="minorHAnsi" w:eastAsiaTheme="minorEastAsia" w:hAnsiTheme="minorHAnsi" w:cstheme="minorBidi"/>
        </w:rPr>
      </w:pPr>
      <w:r w:rsidRPr="527A5E75">
        <w:rPr>
          <w:rFonts w:asciiTheme="minorHAnsi" w:eastAsiaTheme="minorEastAsia" w:hAnsiTheme="minorHAnsi" w:cstheme="minorBidi"/>
        </w:rPr>
        <w:t xml:space="preserve">Zda se převod vůbec uskuteční </w:t>
      </w:r>
    </w:p>
    <w:p w14:paraId="1E6172BA" w14:textId="24107EE9" w:rsidR="007A3BAE" w:rsidRDefault="007A3BAE" w:rsidP="007A3BAE">
      <w:pPr>
        <w:pStyle w:val="Odstavecseseznamem"/>
        <w:numPr>
          <w:ilvl w:val="0"/>
          <w:numId w:val="1"/>
        </w:numPr>
        <w:rPr>
          <w:rFonts w:asciiTheme="minorHAnsi" w:eastAsiaTheme="minorEastAsia" w:hAnsiTheme="minorHAnsi" w:cstheme="minorBidi"/>
        </w:rPr>
      </w:pPr>
      <w:r w:rsidRPr="527A5E75">
        <w:rPr>
          <w:rFonts w:asciiTheme="minorHAnsi" w:eastAsiaTheme="minorEastAsia" w:hAnsiTheme="minorHAnsi" w:cstheme="minorBidi"/>
        </w:rPr>
        <w:t>A pokud ano, zda proběhne ve standardním čase.</w:t>
      </w:r>
    </w:p>
    <w:p w14:paraId="27E1664C" w14:textId="77777777" w:rsidR="00A75188" w:rsidRPr="008C59DE" w:rsidRDefault="00A75188" w:rsidP="00A75188">
      <w:pPr>
        <w:pStyle w:val="Odstavecseseznamem"/>
        <w:rPr>
          <w:rFonts w:asciiTheme="minorHAnsi" w:eastAsiaTheme="minorEastAsia" w:hAnsiTheme="minorHAnsi" w:cstheme="minorBidi"/>
        </w:rPr>
      </w:pPr>
    </w:p>
    <w:p w14:paraId="596FB9D7" w14:textId="77777777" w:rsidR="007A3BAE" w:rsidRDefault="007A3BAE" w:rsidP="007A3BAE">
      <w:pPr>
        <w:pStyle w:val="Nadpis2"/>
        <w:rPr>
          <w:rFonts w:asciiTheme="minorHAnsi" w:eastAsiaTheme="minorEastAsia" w:hAnsiTheme="minorHAnsi" w:cstheme="minorBidi"/>
        </w:rPr>
      </w:pPr>
      <w:r w:rsidRPr="527A5E75">
        <w:rPr>
          <w:rFonts w:asciiTheme="minorHAnsi" w:eastAsiaTheme="minorEastAsia" w:hAnsiTheme="minorHAnsi" w:cstheme="minorBidi"/>
        </w:rPr>
        <w:t>Úvěrová angažovanost ve Sberbank CZ</w:t>
      </w:r>
    </w:p>
    <w:p w14:paraId="2E394825" w14:textId="77777777" w:rsidR="007A3BAE" w:rsidRDefault="007A3BAE" w:rsidP="007A3BAE">
      <w:pPr>
        <w:spacing w:line="257" w:lineRule="auto"/>
        <w:rPr>
          <w:rFonts w:eastAsiaTheme="minorEastAsia"/>
        </w:rPr>
      </w:pPr>
      <w:r w:rsidRPr="527A5E75">
        <w:rPr>
          <w:rFonts w:eastAsiaTheme="minorEastAsia"/>
        </w:rPr>
        <w:t xml:space="preserve">V případě, že má klient úvěrovou angažovanost ve Sberbank CZ, tak tento závazek nezaniká a klient je povinen jej dál splácet. Splácení ale není možno provádět přes běžný účet ve Sberbank, ale je k tomu potřeba využít běžný účet v jiné bance a platby směřovat na speciálně vytvořené sběrné účty, jejichž přehled naleznete na </w:t>
      </w:r>
      <w:hyperlink r:id="rId7">
        <w:r w:rsidRPr="527A5E75">
          <w:rPr>
            <w:rStyle w:val="Hypertextovodkaz"/>
            <w:rFonts w:eastAsiaTheme="minorEastAsia"/>
          </w:rPr>
          <w:t>stránkách Sberbank</w:t>
        </w:r>
      </w:hyperlink>
      <w:r w:rsidRPr="527A5E75">
        <w:rPr>
          <w:rFonts w:eastAsiaTheme="minorEastAsia"/>
        </w:rPr>
        <w:t xml:space="preserve">. </w:t>
      </w:r>
    </w:p>
    <w:p w14:paraId="02F3B193" w14:textId="4B25AA8B" w:rsidR="007A3BAE" w:rsidRDefault="007A3BAE" w:rsidP="007A3BAE">
      <w:pPr>
        <w:spacing w:line="257" w:lineRule="auto"/>
        <w:rPr>
          <w:rFonts w:eastAsiaTheme="minorEastAsia"/>
          <w:color w:val="2F5496" w:themeColor="accent1" w:themeShade="BF"/>
          <w:sz w:val="26"/>
          <w:szCs w:val="26"/>
        </w:rPr>
      </w:pPr>
      <w:r w:rsidRPr="527A5E75">
        <w:rPr>
          <w:rFonts w:eastAsiaTheme="minorEastAsia"/>
          <w:color w:val="2F5496" w:themeColor="accent1" w:themeShade="BF"/>
          <w:sz w:val="26"/>
          <w:szCs w:val="26"/>
        </w:rPr>
        <w:t>Splácení půjčky či hypotéky ČSOB z účtu v</w:t>
      </w:r>
      <w:r w:rsidR="005C3010">
        <w:rPr>
          <w:rFonts w:eastAsiaTheme="minorEastAsia"/>
          <w:color w:val="2F5496" w:themeColor="accent1" w:themeShade="BF"/>
          <w:sz w:val="26"/>
          <w:szCs w:val="26"/>
        </w:rPr>
        <w:t> </w:t>
      </w:r>
      <w:r w:rsidRPr="527A5E75">
        <w:rPr>
          <w:rFonts w:eastAsiaTheme="minorEastAsia"/>
          <w:color w:val="2F5496" w:themeColor="accent1" w:themeShade="BF"/>
          <w:sz w:val="26"/>
          <w:szCs w:val="26"/>
        </w:rPr>
        <w:t>Sberbank</w:t>
      </w:r>
      <w:r w:rsidR="005C3010">
        <w:rPr>
          <w:rFonts w:eastAsiaTheme="minorEastAsia"/>
          <w:color w:val="2F5496" w:themeColor="accent1" w:themeShade="BF"/>
          <w:sz w:val="26"/>
          <w:szCs w:val="26"/>
        </w:rPr>
        <w:t xml:space="preserve"> CZ</w:t>
      </w:r>
    </w:p>
    <w:p w14:paraId="59F00E2C" w14:textId="575C1E12"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Pokud klient pro splácení půjčky či hypotéky poskytnuté ČSOB využívá běžný účet u Sberbank (posílá si z něj peníze na technický běžný účet, odkud probíhá splácení půjčky) doporučte mu</w:t>
      </w:r>
      <w:r w:rsidR="006A59BB">
        <w:rPr>
          <w:rFonts w:eastAsiaTheme="minorEastAsia"/>
          <w:color w:val="242424"/>
          <w:sz w:val="21"/>
          <w:szCs w:val="21"/>
        </w:rPr>
        <w:t>,</w:t>
      </w:r>
      <w:r w:rsidRPr="527A5E75">
        <w:rPr>
          <w:rFonts w:eastAsiaTheme="minorEastAsia"/>
          <w:color w:val="242424"/>
          <w:sz w:val="21"/>
          <w:szCs w:val="21"/>
        </w:rPr>
        <w:t xml:space="preserve"> co nejdříve </w:t>
      </w:r>
      <w:r w:rsidR="006A59BB">
        <w:rPr>
          <w:rFonts w:eastAsiaTheme="minorEastAsia"/>
          <w:color w:val="242424"/>
          <w:sz w:val="21"/>
          <w:szCs w:val="21"/>
        </w:rPr>
        <w:t xml:space="preserve">si </w:t>
      </w:r>
      <w:r w:rsidRPr="527A5E75">
        <w:rPr>
          <w:rFonts w:eastAsiaTheme="minorEastAsia"/>
          <w:color w:val="242424"/>
          <w:sz w:val="21"/>
          <w:szCs w:val="21"/>
        </w:rPr>
        <w:t>otevřít jiný běžný účet a z</w:t>
      </w:r>
      <w:r w:rsidR="006A59BB">
        <w:rPr>
          <w:rFonts w:eastAsiaTheme="minorEastAsia"/>
          <w:color w:val="242424"/>
          <w:sz w:val="21"/>
          <w:szCs w:val="21"/>
        </w:rPr>
        <w:t xml:space="preserve"> něj</w:t>
      </w:r>
      <w:r w:rsidRPr="527A5E75">
        <w:rPr>
          <w:rFonts w:eastAsiaTheme="minorEastAsia"/>
          <w:color w:val="242424"/>
          <w:sz w:val="21"/>
          <w:szCs w:val="21"/>
        </w:rPr>
        <w:t xml:space="preserve"> pak provádět splácení půjčky.  </w:t>
      </w:r>
    </w:p>
    <w:p w14:paraId="695C898C" w14:textId="17110B41" w:rsidR="007A3BAE" w:rsidRDefault="007A3BAE" w:rsidP="007A3BAE">
      <w:pPr>
        <w:spacing w:line="257" w:lineRule="auto"/>
        <w:rPr>
          <w:rFonts w:eastAsiaTheme="minorEastAsia"/>
        </w:rPr>
      </w:pPr>
      <w:r w:rsidRPr="20840C90">
        <w:rPr>
          <w:rFonts w:eastAsiaTheme="minorEastAsia"/>
          <w:color w:val="242424"/>
          <w:sz w:val="21"/>
          <w:szCs w:val="21"/>
        </w:rPr>
        <w:t xml:space="preserve">Pokud si klient takový účet otevře u ČSOB a nemá v nejbližších dnech plánovanou řádnou splátku úvěru, je vhodné požádat o změnu účtu pro splácení, </w:t>
      </w:r>
      <w:r w:rsidR="006E41B7">
        <w:rPr>
          <w:rFonts w:eastAsiaTheme="minorEastAsia"/>
          <w:color w:val="242424"/>
          <w:sz w:val="21"/>
          <w:szCs w:val="21"/>
        </w:rPr>
        <w:t xml:space="preserve">tuto změnu </w:t>
      </w:r>
      <w:r w:rsidRPr="20840C90">
        <w:rPr>
          <w:rFonts w:eastAsiaTheme="minorEastAsia"/>
          <w:color w:val="242424"/>
          <w:sz w:val="21"/>
          <w:szCs w:val="21"/>
        </w:rPr>
        <w:t xml:space="preserve">má klient zdarma. Splácení pak bude probíhat automaticky a je to pro klienta nejjednodušší. Pokud hrozí, že by změna účtu pro splácení neproběhla před datem pravidelné splátky, doporučte navíc klientovi jednorázově uhradit nejbližší splátku včetně poplatku za pojištění schopnosti splácet úvěr na technický běžný účet (ten je mj. uveden v úvěrové smlouvě či v </w:t>
      </w:r>
      <w:r w:rsidR="00B659D7">
        <w:rPr>
          <w:rFonts w:eastAsiaTheme="minorEastAsia"/>
          <w:color w:val="242424"/>
          <w:sz w:val="21"/>
          <w:szCs w:val="21"/>
        </w:rPr>
        <w:t>H</w:t>
      </w:r>
      <w:r w:rsidRPr="20840C90">
        <w:rPr>
          <w:rFonts w:eastAsiaTheme="minorEastAsia"/>
          <w:color w:val="242424"/>
          <w:sz w:val="21"/>
          <w:szCs w:val="21"/>
        </w:rPr>
        <w:t>ypoteční zóně).</w:t>
      </w:r>
      <w:r w:rsidRPr="20840C90">
        <w:rPr>
          <w:rFonts w:eastAsiaTheme="minorEastAsia"/>
        </w:rPr>
        <w:t xml:space="preserve">  </w:t>
      </w:r>
    </w:p>
    <w:p w14:paraId="40F4F453" w14:textId="0D1E2730" w:rsidR="007A3BAE" w:rsidRDefault="007A3BAE" w:rsidP="007A3BAE">
      <w:pPr>
        <w:spacing w:line="257" w:lineRule="auto"/>
        <w:rPr>
          <w:rFonts w:eastAsiaTheme="minorEastAsia"/>
          <w:color w:val="2F5496" w:themeColor="accent1" w:themeShade="BF"/>
          <w:sz w:val="26"/>
          <w:szCs w:val="26"/>
        </w:rPr>
      </w:pPr>
      <w:r w:rsidRPr="527A5E75">
        <w:rPr>
          <w:rFonts w:eastAsiaTheme="minorEastAsia"/>
          <w:color w:val="242424"/>
          <w:sz w:val="21"/>
          <w:szCs w:val="21"/>
        </w:rPr>
        <w:t xml:space="preserve"> </w:t>
      </w:r>
      <w:r w:rsidRPr="527A5E75">
        <w:rPr>
          <w:rFonts w:eastAsiaTheme="minorEastAsia"/>
          <w:color w:val="2F5496" w:themeColor="accent1" w:themeShade="BF"/>
          <w:sz w:val="26"/>
          <w:szCs w:val="26"/>
        </w:rPr>
        <w:t>Čerpání půjček a hypoték s nastaveným účtem ve Sberbank</w:t>
      </w:r>
      <w:r w:rsidR="005C3010">
        <w:rPr>
          <w:rFonts w:eastAsiaTheme="minorEastAsia"/>
          <w:color w:val="2F5496" w:themeColor="accent1" w:themeShade="BF"/>
          <w:sz w:val="26"/>
          <w:szCs w:val="26"/>
        </w:rPr>
        <w:t xml:space="preserve"> CZ</w:t>
      </w:r>
    </w:p>
    <w:p w14:paraId="104DEBD2" w14:textId="284CB8E9" w:rsidR="007A3BAE" w:rsidRDefault="00B659D7" w:rsidP="007A3BAE">
      <w:pPr>
        <w:spacing w:line="257" w:lineRule="auto"/>
        <w:rPr>
          <w:rFonts w:eastAsiaTheme="minorEastAsia"/>
          <w:color w:val="242424"/>
          <w:sz w:val="21"/>
          <w:szCs w:val="21"/>
        </w:rPr>
      </w:pPr>
      <w:r>
        <w:rPr>
          <w:rFonts w:eastAsiaTheme="minorEastAsia"/>
          <w:color w:val="242424"/>
          <w:sz w:val="21"/>
          <w:szCs w:val="21"/>
        </w:rPr>
        <w:t>Č</w:t>
      </w:r>
      <w:r w:rsidR="007A3BAE" w:rsidRPr="527A5E75">
        <w:rPr>
          <w:rFonts w:eastAsiaTheme="minorEastAsia"/>
          <w:color w:val="242424"/>
          <w:sz w:val="21"/>
          <w:szCs w:val="21"/>
        </w:rPr>
        <w:t>erpání půjček či hypoték na účet do Sberbank</w:t>
      </w:r>
      <w:r>
        <w:rPr>
          <w:rFonts w:eastAsiaTheme="minorEastAsia"/>
          <w:color w:val="242424"/>
          <w:sz w:val="21"/>
          <w:szCs w:val="21"/>
        </w:rPr>
        <w:t xml:space="preserve"> n</w:t>
      </w:r>
      <w:r w:rsidRPr="527A5E75">
        <w:rPr>
          <w:rFonts w:eastAsiaTheme="minorEastAsia"/>
          <w:color w:val="242424"/>
          <w:sz w:val="21"/>
          <w:szCs w:val="21"/>
        </w:rPr>
        <w:t>ení možné</w:t>
      </w:r>
      <w:r w:rsidR="007A3BAE" w:rsidRPr="527A5E75">
        <w:rPr>
          <w:rFonts w:eastAsiaTheme="minorEastAsia"/>
          <w:color w:val="242424"/>
          <w:sz w:val="21"/>
          <w:szCs w:val="21"/>
        </w:rPr>
        <w:t xml:space="preserve">. Pokud jste takto půjčku již zpracovali, bude klienta kontaktovat </w:t>
      </w:r>
      <w:r w:rsidR="007A3BAE">
        <w:rPr>
          <w:rFonts w:eastAsiaTheme="minorEastAsia"/>
          <w:color w:val="242424"/>
          <w:sz w:val="21"/>
          <w:szCs w:val="21"/>
        </w:rPr>
        <w:t>bankéř</w:t>
      </w:r>
      <w:r w:rsidR="007A3BAE" w:rsidRPr="527A5E75">
        <w:rPr>
          <w:rFonts w:eastAsiaTheme="minorEastAsia"/>
          <w:color w:val="242424"/>
          <w:sz w:val="21"/>
          <w:szCs w:val="21"/>
        </w:rPr>
        <w:t xml:space="preserve"> a dohodne s ním náhradní řešení. </w:t>
      </w:r>
    </w:p>
    <w:p w14:paraId="185C9EB3" w14:textId="777777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 xml:space="preserve">U hypoték </w:t>
      </w:r>
      <w:r>
        <w:rPr>
          <w:rFonts w:eastAsiaTheme="minorEastAsia"/>
          <w:color w:val="242424"/>
          <w:sz w:val="21"/>
          <w:szCs w:val="21"/>
        </w:rPr>
        <w:t xml:space="preserve">si </w:t>
      </w:r>
      <w:r w:rsidRPr="527A5E75">
        <w:rPr>
          <w:rFonts w:eastAsiaTheme="minorEastAsia"/>
          <w:color w:val="242424"/>
          <w:sz w:val="21"/>
          <w:szCs w:val="21"/>
        </w:rPr>
        <w:t>bude muset klient dohodnout s protistranou změnu účtu např. v kupní smlouvě</w:t>
      </w:r>
      <w:r>
        <w:rPr>
          <w:rFonts w:eastAsiaTheme="minorEastAsia"/>
          <w:color w:val="242424"/>
          <w:sz w:val="21"/>
          <w:szCs w:val="21"/>
        </w:rPr>
        <w:t xml:space="preserve"> a</w:t>
      </w:r>
      <w:r w:rsidRPr="527A5E75">
        <w:rPr>
          <w:rFonts w:eastAsiaTheme="minorEastAsia"/>
          <w:color w:val="242424"/>
          <w:sz w:val="21"/>
          <w:szCs w:val="21"/>
        </w:rPr>
        <w:t xml:space="preserve"> v případě neúčelové části bude pro čerpání nutné zadat jiný účet mimo Sberbank.</w:t>
      </w:r>
    </w:p>
    <w:p w14:paraId="3440F07A" w14:textId="10DEE3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 xml:space="preserve"> </w:t>
      </w:r>
    </w:p>
    <w:p w14:paraId="51C8F597" w14:textId="258285E3" w:rsidR="00AA7252" w:rsidRDefault="00AA7252" w:rsidP="007A3BAE">
      <w:pPr>
        <w:spacing w:line="257" w:lineRule="auto"/>
        <w:rPr>
          <w:rFonts w:eastAsiaTheme="minorEastAsia"/>
          <w:color w:val="242424"/>
          <w:sz w:val="21"/>
          <w:szCs w:val="21"/>
        </w:rPr>
      </w:pPr>
    </w:p>
    <w:p w14:paraId="1B571BC0" w14:textId="77777777" w:rsidR="00AA7252" w:rsidRDefault="00AA7252" w:rsidP="007A3BAE">
      <w:pPr>
        <w:spacing w:line="257" w:lineRule="auto"/>
        <w:rPr>
          <w:rFonts w:eastAsiaTheme="minorEastAsia"/>
          <w:color w:val="242424"/>
          <w:sz w:val="21"/>
          <w:szCs w:val="21"/>
        </w:rPr>
      </w:pPr>
    </w:p>
    <w:p w14:paraId="3A563BAE" w14:textId="11CD9A01" w:rsidR="007A3BAE" w:rsidRDefault="007A3BAE" w:rsidP="007A3BAE">
      <w:pPr>
        <w:pStyle w:val="Nadpis2"/>
        <w:rPr>
          <w:rFonts w:asciiTheme="minorHAnsi" w:eastAsiaTheme="minorEastAsia" w:hAnsiTheme="minorHAnsi" w:cstheme="minorBidi"/>
        </w:rPr>
      </w:pPr>
      <w:r w:rsidRPr="527A5E75">
        <w:rPr>
          <w:rFonts w:asciiTheme="minorHAnsi" w:eastAsiaTheme="minorEastAsia" w:hAnsiTheme="minorHAnsi" w:cstheme="minorBidi"/>
        </w:rPr>
        <w:lastRenderedPageBreak/>
        <w:t>Konsolidace půjček a refinancování hypoték poskytnutých Sberbank</w:t>
      </w:r>
      <w:r w:rsidR="005C3010">
        <w:rPr>
          <w:rFonts w:asciiTheme="minorHAnsi" w:eastAsiaTheme="minorEastAsia" w:hAnsiTheme="minorHAnsi" w:cstheme="minorBidi"/>
        </w:rPr>
        <w:t xml:space="preserve"> CZ</w:t>
      </w:r>
    </w:p>
    <w:p w14:paraId="193C675E" w14:textId="77777777" w:rsidR="007A3BAE" w:rsidRDefault="007A3BAE" w:rsidP="007A3BAE">
      <w:pPr>
        <w:spacing w:line="257" w:lineRule="auto"/>
        <w:rPr>
          <w:rFonts w:eastAsiaTheme="minorEastAsia"/>
          <w:b/>
          <w:bCs/>
          <w:color w:val="242424"/>
          <w:sz w:val="21"/>
          <w:szCs w:val="21"/>
        </w:rPr>
      </w:pPr>
      <w:r w:rsidRPr="527A5E75">
        <w:rPr>
          <w:rFonts w:eastAsiaTheme="minorEastAsia"/>
          <w:b/>
          <w:bCs/>
          <w:color w:val="242424"/>
          <w:sz w:val="21"/>
          <w:szCs w:val="21"/>
        </w:rPr>
        <w:t>Konsolidace půjček</w:t>
      </w:r>
    </w:p>
    <w:p w14:paraId="3D563CDE" w14:textId="777777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 xml:space="preserve">Konsolidace půjček poskytnutých Sberbank je možná. Peníze se ale </w:t>
      </w:r>
      <w:r w:rsidRPr="00340BF7">
        <w:rPr>
          <w:rFonts w:eastAsiaTheme="minorEastAsia"/>
          <w:b/>
          <w:bCs/>
          <w:color w:val="242424"/>
          <w:sz w:val="21"/>
          <w:szCs w:val="21"/>
        </w:rPr>
        <w:t>nemohou</w:t>
      </w:r>
      <w:r w:rsidRPr="527A5E75">
        <w:rPr>
          <w:rFonts w:eastAsiaTheme="minorEastAsia"/>
          <w:color w:val="242424"/>
          <w:sz w:val="21"/>
          <w:szCs w:val="21"/>
        </w:rPr>
        <w:t xml:space="preserve"> poslat na běžný účet klienta u Sberbank, ale je nutné je směřovat na tento speciální účet:</w:t>
      </w:r>
    </w:p>
    <w:p w14:paraId="3069E193" w14:textId="777777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Číslo účtu                    Variabilní symbol</w:t>
      </w:r>
    </w:p>
    <w:p w14:paraId="68FF7E78" w14:textId="777777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9200147374/6800       číslo úvěru / číslo účtu KTK</w:t>
      </w:r>
    </w:p>
    <w:p w14:paraId="1FFE2FEA" w14:textId="03CDFFE7" w:rsidR="007A3BAE" w:rsidRDefault="007A3BAE" w:rsidP="007A3BAE">
      <w:pPr>
        <w:spacing w:line="257" w:lineRule="auto"/>
        <w:rPr>
          <w:rFonts w:eastAsiaTheme="minorEastAsia"/>
          <w:b/>
          <w:bCs/>
          <w:color w:val="242424"/>
          <w:sz w:val="21"/>
          <w:szCs w:val="21"/>
        </w:rPr>
      </w:pPr>
      <w:r w:rsidRPr="527A5E75">
        <w:rPr>
          <w:rFonts w:eastAsiaTheme="minorEastAsia"/>
          <w:b/>
          <w:bCs/>
          <w:color w:val="242424"/>
          <w:sz w:val="21"/>
          <w:szCs w:val="21"/>
        </w:rPr>
        <w:t>Hypotéky – refinancování hypotéky ve Sberbank</w:t>
      </w:r>
    </w:p>
    <w:p w14:paraId="7580ECD6" w14:textId="777777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 xml:space="preserve">Pokud je hypotéka v ČSOB schválena a klient smlouvy dosud nepodepsal, je na klientovi, zda úvěrové smlouvy podepíše. U podepsaných hypoték umožníme klientovi čerpání po předložení „Souhlasu s předčasným splacením a podmínky vzdání se zástavního práva“ vystaveného Sberbank. O vyčíslení může požádat např. E-mailem </w:t>
      </w:r>
      <w:hyperlink r:id="rId8">
        <w:r w:rsidRPr="527A5E75">
          <w:rPr>
            <w:rStyle w:val="Hypertextovodkaz"/>
            <w:rFonts w:eastAsiaTheme="minorEastAsia"/>
            <w:sz w:val="21"/>
            <w:szCs w:val="21"/>
          </w:rPr>
          <w:t>spravauveru@sberbankcz.cz</w:t>
        </w:r>
      </w:hyperlink>
      <w:r w:rsidRPr="527A5E75">
        <w:rPr>
          <w:rFonts w:eastAsiaTheme="minorEastAsia"/>
          <w:color w:val="242424"/>
          <w:sz w:val="21"/>
          <w:szCs w:val="21"/>
        </w:rPr>
        <w:t xml:space="preserve">). </w:t>
      </w:r>
    </w:p>
    <w:p w14:paraId="6E0ABCDC" w14:textId="77777777" w:rsidR="007A3BAE" w:rsidRDefault="007A3BAE" w:rsidP="007A3BAE">
      <w:pPr>
        <w:spacing w:line="257" w:lineRule="auto"/>
        <w:rPr>
          <w:rFonts w:eastAsiaTheme="minorEastAsia"/>
        </w:rPr>
      </w:pPr>
      <w:r w:rsidRPr="527A5E75">
        <w:rPr>
          <w:rFonts w:eastAsiaTheme="minorEastAsia"/>
          <w:color w:val="242424"/>
          <w:sz w:val="21"/>
          <w:szCs w:val="21"/>
        </w:rPr>
        <w:t xml:space="preserve">V případě, že se klient na vás obrátí z žádostí o novou hypotéku na refinancování hypotéky ve Sberbank, doporučte mu, aby kontaktoval svého poradce ve Sberbank či prostřednictvím emailu </w:t>
      </w:r>
      <w:hyperlink r:id="rId9">
        <w:r w:rsidRPr="527A5E75">
          <w:rPr>
            <w:rStyle w:val="Hypertextovodkaz"/>
            <w:rFonts w:eastAsiaTheme="minorEastAsia"/>
            <w:sz w:val="21"/>
            <w:szCs w:val="21"/>
          </w:rPr>
          <w:t>spravauveru@sberbankcz.cz</w:t>
        </w:r>
      </w:hyperlink>
      <w:r w:rsidRPr="527A5E75">
        <w:rPr>
          <w:rFonts w:eastAsiaTheme="minorEastAsia"/>
          <w:color w:val="242424"/>
          <w:sz w:val="21"/>
          <w:szCs w:val="21"/>
        </w:rPr>
        <w:t xml:space="preserve"> požádal o vystavení „Souhlasu s předčasným splacením a podmínky vzdání se zástavního práva“. Po jeho získání je možné hypotéku zpracovat.</w:t>
      </w:r>
      <w:r w:rsidRPr="527A5E75">
        <w:rPr>
          <w:rFonts w:eastAsiaTheme="minorEastAsia"/>
        </w:rPr>
        <w:t xml:space="preserve"> </w:t>
      </w:r>
    </w:p>
    <w:p w14:paraId="61367AC1" w14:textId="0197ABCE" w:rsidR="007A3BAE" w:rsidRDefault="007A3BAE" w:rsidP="007A3BAE">
      <w:pPr>
        <w:spacing w:line="257" w:lineRule="auto"/>
        <w:rPr>
          <w:rFonts w:eastAsiaTheme="minorEastAsia"/>
          <w:color w:val="242424"/>
          <w:sz w:val="21"/>
          <w:szCs w:val="21"/>
        </w:rPr>
      </w:pPr>
      <w:r w:rsidRPr="527A5E75">
        <w:rPr>
          <w:rFonts w:eastAsiaTheme="minorEastAsia"/>
        </w:rPr>
        <w:t xml:space="preserve"> </w:t>
      </w:r>
      <w:r w:rsidRPr="527A5E75">
        <w:rPr>
          <w:rFonts w:eastAsiaTheme="minorEastAsia"/>
          <w:color w:val="242424"/>
          <w:sz w:val="21"/>
          <w:szCs w:val="21"/>
        </w:rPr>
        <w:t xml:space="preserve">Refinancování hypoték poskytnutých Sberbank se </w:t>
      </w:r>
      <w:r w:rsidRPr="527A5E75">
        <w:rPr>
          <w:rFonts w:eastAsiaTheme="minorEastAsia"/>
          <w:b/>
          <w:bCs/>
          <w:color w:val="242424"/>
          <w:sz w:val="21"/>
          <w:szCs w:val="21"/>
        </w:rPr>
        <w:t>realizuje aktuálně výhradně na speciální účet</w:t>
      </w:r>
      <w:r w:rsidRPr="527A5E75">
        <w:rPr>
          <w:rFonts w:eastAsiaTheme="minorEastAsia"/>
          <w:color w:val="242424"/>
          <w:sz w:val="21"/>
          <w:szCs w:val="21"/>
        </w:rPr>
        <w:t>:</w:t>
      </w:r>
    </w:p>
    <w:p w14:paraId="02102CDD" w14:textId="777777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Číslo účtu                    Variabilní symbol</w:t>
      </w:r>
    </w:p>
    <w:p w14:paraId="4195B93B" w14:textId="777777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 xml:space="preserve">9200046426/6800          číslo úvěru </w:t>
      </w:r>
    </w:p>
    <w:p w14:paraId="27EFE6F3" w14:textId="77777777" w:rsidR="007A3BAE" w:rsidRDefault="007A3BAE" w:rsidP="007A3BAE">
      <w:pPr>
        <w:spacing w:line="257" w:lineRule="auto"/>
        <w:rPr>
          <w:rFonts w:eastAsiaTheme="minorEastAsia"/>
        </w:rPr>
      </w:pPr>
      <w:r w:rsidRPr="527A5E75">
        <w:rPr>
          <w:rFonts w:eastAsiaTheme="minorEastAsia"/>
        </w:rPr>
        <w:t xml:space="preserve">Jako podklad pro čerpání je standardně vyžadován dokument „Souhlas s předčasným splacením a podmínky vzdání se zástavního práva“. </w:t>
      </w:r>
    </w:p>
    <w:p w14:paraId="5E583925" w14:textId="5F44E5A6" w:rsidR="007A3BAE" w:rsidRDefault="007A3BAE" w:rsidP="007A3BAE">
      <w:pPr>
        <w:spacing w:line="257" w:lineRule="auto"/>
        <w:rPr>
          <w:rFonts w:eastAsiaTheme="minorEastAsia"/>
        </w:rPr>
      </w:pPr>
      <w:r w:rsidRPr="527A5E75">
        <w:rPr>
          <w:rFonts w:eastAsiaTheme="minorEastAsia"/>
        </w:rPr>
        <w:t xml:space="preserve">V případě, že klient úvěr u Sberbank nečerpal, je potřeba dohodnout se Sberbank způsob odstoupení/ukončení úvěrové smlouvy. </w:t>
      </w:r>
    </w:p>
    <w:p w14:paraId="79953939" w14:textId="77777777" w:rsidR="007A3BAE" w:rsidRDefault="007A3BAE" w:rsidP="007A3BAE">
      <w:pPr>
        <w:spacing w:line="257" w:lineRule="auto"/>
        <w:rPr>
          <w:rFonts w:eastAsiaTheme="minorEastAsia"/>
          <w:color w:val="2F5496" w:themeColor="accent1" w:themeShade="BF"/>
          <w:sz w:val="26"/>
          <w:szCs w:val="26"/>
        </w:rPr>
      </w:pPr>
      <w:r w:rsidRPr="527A5E75">
        <w:rPr>
          <w:rFonts w:eastAsiaTheme="minorEastAsia"/>
          <w:color w:val="2F5496" w:themeColor="accent1" w:themeShade="BF"/>
          <w:sz w:val="26"/>
          <w:szCs w:val="26"/>
        </w:rPr>
        <w:t>Nová žádost o hypotéku na původní záměr klienta</w:t>
      </w:r>
    </w:p>
    <w:p w14:paraId="6CC1386A" w14:textId="77777777" w:rsidR="007A3BAE" w:rsidRDefault="007A3BAE" w:rsidP="007A3BAE">
      <w:pPr>
        <w:spacing w:line="257" w:lineRule="auto"/>
        <w:rPr>
          <w:rFonts w:eastAsiaTheme="minorEastAsia"/>
        </w:rPr>
      </w:pPr>
      <w:r w:rsidRPr="527A5E75">
        <w:rPr>
          <w:rFonts w:eastAsiaTheme="minorEastAsia"/>
        </w:rPr>
        <w:t>Pokud se na ČSOB obrátí klient s požadavkem na financování svého investičního záměru, který měl původně rozjednán v Sberbank (rozpracována žádost nebo hypotéka před podpisem v Sberbank), pak již existuje záznam BRKI. Zde pro schválení hypotéky na financování klientova investičního záměru ke schválení hypotéky v ČSOB nebudeme vyžadovat doklad o odstoupení od žádosti o úvěr v Sberbank.</w:t>
      </w:r>
    </w:p>
    <w:p w14:paraId="16EF0566" w14:textId="77777777" w:rsidR="003017DB" w:rsidRPr="003017DB" w:rsidRDefault="003017DB" w:rsidP="003017DB">
      <w:pPr>
        <w:pStyle w:val="Nadpis2"/>
        <w:rPr>
          <w:rFonts w:asciiTheme="minorHAnsi" w:hAnsiTheme="minorHAnsi" w:cstheme="minorHAnsi"/>
        </w:rPr>
      </w:pPr>
      <w:r w:rsidRPr="003017DB">
        <w:rPr>
          <w:rFonts w:asciiTheme="minorHAnsi" w:hAnsiTheme="minorHAnsi" w:cstheme="minorHAnsi"/>
        </w:rPr>
        <w:t>Rozjednané žádosti o úvěrové produkty Sberbank</w:t>
      </w:r>
    </w:p>
    <w:p w14:paraId="6AAED997" w14:textId="1F5CCBFA" w:rsidR="003017DB" w:rsidRPr="003017DB" w:rsidRDefault="003017DB" w:rsidP="003017DB">
      <w:pPr>
        <w:spacing w:line="257" w:lineRule="auto"/>
        <w:rPr>
          <w:rFonts w:eastAsiaTheme="minorEastAsia"/>
        </w:rPr>
      </w:pPr>
      <w:r w:rsidRPr="003017DB">
        <w:br/>
      </w:r>
      <w:r w:rsidRPr="003017DB">
        <w:rPr>
          <w:rFonts w:eastAsiaTheme="minorEastAsia"/>
        </w:rPr>
        <w:t xml:space="preserve">Z důvodu částečně anonymizovaných dat v BRKI reportu není možné rozlišit, že se jedná konkrétně o úvěrovou žádost Sberbank. V souladu s metodikou je standardně zapotřebí k čerpání hypotečního úvěru doložit potvrzení o odstoupení takové žádosti. </w:t>
      </w:r>
    </w:p>
    <w:p w14:paraId="50DE7742" w14:textId="77777777" w:rsidR="003017DB" w:rsidRPr="003017DB" w:rsidRDefault="003017DB" w:rsidP="003017DB">
      <w:pPr>
        <w:spacing w:line="257" w:lineRule="auto"/>
        <w:rPr>
          <w:rFonts w:eastAsiaTheme="minorEastAsia"/>
        </w:rPr>
      </w:pPr>
      <w:r w:rsidRPr="003017DB">
        <w:rPr>
          <w:rFonts w:eastAsiaTheme="minorEastAsia"/>
        </w:rPr>
        <w:t>Pokud klient nemá toto potvrzení od Sberbank o zrušení rozjednané žádosti k dispozici, je potřeba postupovat takto:</w:t>
      </w:r>
    </w:p>
    <w:p w14:paraId="0191ED0E" w14:textId="77777777" w:rsidR="003017DB" w:rsidRPr="003017DB" w:rsidRDefault="003017DB" w:rsidP="003017DB">
      <w:pPr>
        <w:pStyle w:val="Odstavecseseznamem"/>
        <w:numPr>
          <w:ilvl w:val="0"/>
          <w:numId w:val="2"/>
        </w:numPr>
        <w:spacing w:after="160" w:line="252" w:lineRule="auto"/>
        <w:contextualSpacing/>
        <w:rPr>
          <w:rFonts w:eastAsia="Times New Roman"/>
        </w:rPr>
      </w:pPr>
      <w:r w:rsidRPr="003017DB">
        <w:rPr>
          <w:rFonts w:eastAsia="Times New Roman"/>
        </w:rPr>
        <w:t>klient doloží ke schválení nového úvěru kopii podepsané žádosti Sberbank</w:t>
      </w:r>
    </w:p>
    <w:p w14:paraId="563FEFE7" w14:textId="77777777" w:rsidR="003017DB" w:rsidRPr="003017DB" w:rsidRDefault="003017DB" w:rsidP="003017DB">
      <w:pPr>
        <w:pStyle w:val="Odstavecseseznamem"/>
        <w:numPr>
          <w:ilvl w:val="0"/>
          <w:numId w:val="2"/>
        </w:numPr>
        <w:spacing w:after="160" w:line="252" w:lineRule="auto"/>
        <w:contextualSpacing/>
        <w:rPr>
          <w:rFonts w:eastAsia="Times New Roman"/>
        </w:rPr>
      </w:pPr>
      <w:r w:rsidRPr="003017DB">
        <w:rPr>
          <w:rFonts w:eastAsia="Times New Roman"/>
        </w:rPr>
        <w:t>data na žádosti naši pobočkoví pracovníci porovnají s údaji z BRKI reportu (částka, termín žádosti)</w:t>
      </w:r>
    </w:p>
    <w:p w14:paraId="6DE34523" w14:textId="2F19FD6B" w:rsidR="003017DB" w:rsidRPr="003017DB" w:rsidRDefault="003017DB" w:rsidP="003017DB">
      <w:pPr>
        <w:pStyle w:val="Odstavecseseznamem"/>
        <w:numPr>
          <w:ilvl w:val="0"/>
          <w:numId w:val="2"/>
        </w:numPr>
        <w:spacing w:after="160" w:line="252" w:lineRule="auto"/>
        <w:contextualSpacing/>
        <w:rPr>
          <w:rFonts w:eastAsia="Times New Roman"/>
        </w:rPr>
      </w:pPr>
      <w:r w:rsidRPr="003017DB">
        <w:rPr>
          <w:rFonts w:eastAsia="Times New Roman"/>
        </w:rPr>
        <w:t xml:space="preserve">v případě, že údaje na žádosti korespondují s výstupem z BRKI, podmínka čerpání potvrzení o odstoupení od žádosti nebude do úvěrové smlouvy již zadaná </w:t>
      </w:r>
    </w:p>
    <w:p w14:paraId="42E03B50" w14:textId="77777777" w:rsidR="003017DB" w:rsidRPr="003017DB" w:rsidRDefault="003017DB" w:rsidP="003017DB">
      <w:r w:rsidRPr="003017DB">
        <w:lastRenderedPageBreak/>
        <w:t>Pokud bude u již sjednaného hypotečního úvěru ve fázi čerpání prokázáno, že se jedná o žádost Sberbank, budeme smluvní podmínku považovat za splněnou. Jestliže smlouva o hypotečním úvěru není ještě podepsána, pobočka může po doložení žádosti Sberbank požádat o odstranění dané podmínky.</w:t>
      </w:r>
      <w:r w:rsidRPr="003017DB">
        <w:br/>
      </w:r>
    </w:p>
    <w:p w14:paraId="2F503F9C" w14:textId="77777777" w:rsidR="003017DB" w:rsidRPr="003017DB" w:rsidRDefault="003017DB" w:rsidP="003017DB">
      <w:pPr>
        <w:pStyle w:val="Nadpis2"/>
        <w:rPr>
          <w:rFonts w:asciiTheme="minorHAnsi" w:hAnsiTheme="minorHAnsi" w:cstheme="minorHAnsi"/>
        </w:rPr>
      </w:pPr>
      <w:r w:rsidRPr="003017DB">
        <w:rPr>
          <w:rFonts w:asciiTheme="minorHAnsi" w:hAnsiTheme="minorHAnsi" w:cstheme="minorHAnsi"/>
        </w:rPr>
        <w:t>Podepsané a dosud nečerpané úvěry Sberbank</w:t>
      </w:r>
    </w:p>
    <w:p w14:paraId="34A50B74" w14:textId="77777777" w:rsidR="003017DB" w:rsidRPr="003017DB" w:rsidRDefault="003017DB" w:rsidP="003017DB">
      <w:pPr>
        <w:spacing w:line="257" w:lineRule="auto"/>
        <w:rPr>
          <w:rFonts w:eastAsiaTheme="minorEastAsia"/>
        </w:rPr>
      </w:pPr>
      <w:r w:rsidRPr="003017DB">
        <w:br/>
      </w:r>
      <w:r w:rsidRPr="003017DB">
        <w:rPr>
          <w:rFonts w:eastAsiaTheme="minorEastAsia"/>
        </w:rPr>
        <w:t>Pokud si klient sjednal u Sberbank úvěr, který nebyl vůbec čerpán a zároveň tento závazek nemá být zohledněn v bonitě klienta, je potřeba postupovat takto:</w:t>
      </w:r>
    </w:p>
    <w:p w14:paraId="3AB53B6E" w14:textId="77777777" w:rsidR="003017DB" w:rsidRPr="003017DB" w:rsidRDefault="003017DB" w:rsidP="003017DB">
      <w:pPr>
        <w:pStyle w:val="Odstavecseseznamem"/>
        <w:numPr>
          <w:ilvl w:val="0"/>
          <w:numId w:val="2"/>
        </w:numPr>
        <w:spacing w:after="160" w:line="252" w:lineRule="auto"/>
        <w:contextualSpacing/>
        <w:rPr>
          <w:rFonts w:eastAsia="Times New Roman"/>
        </w:rPr>
      </w:pPr>
      <w:r w:rsidRPr="003017DB">
        <w:rPr>
          <w:rFonts w:eastAsia="Times New Roman"/>
        </w:rPr>
        <w:t>klient standardně doloží k čerpání potvrzení Sberbank o ukončení smluvního vztahu a u zajištěných úvěrů i výmaz ZP</w:t>
      </w:r>
    </w:p>
    <w:p w14:paraId="55B5C014" w14:textId="77777777" w:rsidR="003017DB" w:rsidRPr="003017DB" w:rsidRDefault="003017DB" w:rsidP="003017DB">
      <w:pPr>
        <w:pStyle w:val="Odstavecseseznamem"/>
        <w:numPr>
          <w:ilvl w:val="0"/>
          <w:numId w:val="2"/>
        </w:numPr>
        <w:spacing w:after="160" w:line="252" w:lineRule="auto"/>
        <w:contextualSpacing/>
        <w:rPr>
          <w:rFonts w:eastAsia="Times New Roman"/>
        </w:rPr>
      </w:pPr>
      <w:r w:rsidRPr="003017DB">
        <w:rPr>
          <w:rFonts w:eastAsia="Times New Roman"/>
        </w:rPr>
        <w:t>u nezajištěných úvěrů je možné alternativně doložit kompletní BRKI report pořízený klientem</w:t>
      </w:r>
    </w:p>
    <w:p w14:paraId="3896A64B" w14:textId="52E3AD71" w:rsidR="003017DB" w:rsidRPr="003017DB" w:rsidRDefault="003017DB" w:rsidP="003017DB">
      <w:pPr>
        <w:pStyle w:val="Odstavecseseznamem"/>
        <w:numPr>
          <w:ilvl w:val="0"/>
          <w:numId w:val="2"/>
        </w:numPr>
        <w:spacing w:after="160" w:line="252" w:lineRule="auto"/>
        <w:contextualSpacing/>
        <w:rPr>
          <w:rFonts w:eastAsia="Times New Roman"/>
        </w:rPr>
      </w:pPr>
      <w:r w:rsidRPr="003017DB">
        <w:rPr>
          <w:rFonts w:eastAsia="Times New Roman"/>
        </w:rPr>
        <w:t>z tohoto BRKI reportu lze identifikovat, že se jedná o nečerpaný úvěr Sberbank a podmínka čerpání potvrzení o zrušení kontraktu nebude do úvěrové smlouvy již zadána</w:t>
      </w:r>
    </w:p>
    <w:p w14:paraId="06765BB9" w14:textId="77777777" w:rsidR="003017DB" w:rsidRPr="003017DB" w:rsidRDefault="003017DB" w:rsidP="003017DB"/>
    <w:p w14:paraId="05A97ED5" w14:textId="77777777" w:rsidR="003017DB" w:rsidRPr="003017DB" w:rsidRDefault="003017DB" w:rsidP="003017DB">
      <w:pPr>
        <w:pStyle w:val="Nadpis2"/>
        <w:rPr>
          <w:rFonts w:asciiTheme="minorHAnsi" w:hAnsiTheme="minorHAnsi" w:cstheme="minorHAnsi"/>
        </w:rPr>
      </w:pPr>
      <w:r w:rsidRPr="003017DB">
        <w:rPr>
          <w:rFonts w:asciiTheme="minorHAnsi" w:hAnsiTheme="minorHAnsi" w:cstheme="minorHAnsi"/>
        </w:rPr>
        <w:t>Příjmy zaměstnanců Sberbank</w:t>
      </w:r>
    </w:p>
    <w:p w14:paraId="527374D0" w14:textId="77777777" w:rsidR="003017DB" w:rsidRPr="00D34941" w:rsidRDefault="003017DB" w:rsidP="003017DB">
      <w:pPr>
        <w:rPr>
          <w:rFonts w:cstheme="minorHAnsi"/>
        </w:rPr>
      </w:pPr>
      <w:r w:rsidRPr="003017DB">
        <w:br/>
      </w:r>
      <w:r w:rsidRPr="003017DB">
        <w:rPr>
          <w:rFonts w:cstheme="minorHAnsi"/>
        </w:rPr>
        <w:t xml:space="preserve">Z důvodu negativních informací ohledně stability a udržitelnosti příjmu s okamžitou účinností </w:t>
      </w:r>
      <w:r w:rsidRPr="003017DB">
        <w:rPr>
          <w:rFonts w:cstheme="minorHAnsi"/>
        </w:rPr>
        <w:br/>
        <w:t>k 10. 2. 2022 neakceptujeme příjmy zaměstnanců Sberbank. Omezení platí rovněž pro veškeré rozpracované žádosti o hypoteční úvěry.</w:t>
      </w:r>
    </w:p>
    <w:p w14:paraId="7C0F2781" w14:textId="77777777" w:rsidR="00C81BED" w:rsidRDefault="00C81BED" w:rsidP="007A3BAE">
      <w:pPr>
        <w:spacing w:line="257" w:lineRule="auto"/>
        <w:rPr>
          <w:rFonts w:eastAsiaTheme="minorEastAsia"/>
          <w:color w:val="2F5496" w:themeColor="accent1" w:themeShade="BF"/>
          <w:sz w:val="26"/>
          <w:szCs w:val="26"/>
        </w:rPr>
      </w:pPr>
    </w:p>
    <w:p w14:paraId="0E1742B3" w14:textId="7EC8E53C" w:rsidR="007A3BAE" w:rsidRDefault="007A3BAE" w:rsidP="007A3BAE">
      <w:pPr>
        <w:spacing w:line="257" w:lineRule="auto"/>
        <w:rPr>
          <w:rFonts w:eastAsiaTheme="minorEastAsia"/>
          <w:color w:val="2F5496" w:themeColor="accent1" w:themeShade="BF"/>
          <w:sz w:val="26"/>
          <w:szCs w:val="26"/>
        </w:rPr>
      </w:pPr>
      <w:r w:rsidRPr="527A5E75">
        <w:rPr>
          <w:rFonts w:eastAsiaTheme="minorEastAsia"/>
          <w:color w:val="2F5496" w:themeColor="accent1" w:themeShade="BF"/>
          <w:sz w:val="26"/>
          <w:szCs w:val="26"/>
        </w:rPr>
        <w:t>Důležité</w:t>
      </w:r>
    </w:p>
    <w:p w14:paraId="2D6678A3" w14:textId="77777777" w:rsidR="007A3BAE" w:rsidRDefault="007A3BAE" w:rsidP="007A3BAE">
      <w:pPr>
        <w:spacing w:line="257" w:lineRule="auto"/>
        <w:rPr>
          <w:rFonts w:eastAsiaTheme="minorEastAsia"/>
          <w:color w:val="242424"/>
          <w:sz w:val="21"/>
          <w:szCs w:val="21"/>
        </w:rPr>
      </w:pPr>
      <w:r w:rsidRPr="527A5E75">
        <w:rPr>
          <w:rFonts w:eastAsiaTheme="minorEastAsia"/>
          <w:color w:val="242424"/>
          <w:sz w:val="21"/>
          <w:szCs w:val="21"/>
        </w:rPr>
        <w:t xml:space="preserve">Aktuálně má Sberbank nastaveny různé účty pro příchozí platby dle typu produktu a platby. Aktuální </w:t>
      </w:r>
      <w:hyperlink r:id="rId10">
        <w:r w:rsidRPr="527A5E75">
          <w:rPr>
            <w:rStyle w:val="Hypertextovodkaz"/>
            <w:rFonts w:eastAsiaTheme="minorEastAsia"/>
            <w:sz w:val="21"/>
            <w:szCs w:val="21"/>
          </w:rPr>
          <w:t>přehled je uveden zde</w:t>
        </w:r>
      </w:hyperlink>
      <w:r w:rsidRPr="527A5E75">
        <w:rPr>
          <w:rFonts w:eastAsiaTheme="minorEastAsia"/>
          <w:color w:val="242424"/>
          <w:sz w:val="21"/>
          <w:szCs w:val="21"/>
        </w:rPr>
        <w:t xml:space="preserve"> a při zadávání plateb např. při čerpání hypotečních úvěrů je potřeba správně nastavit dle toho účet, kam má být čerpáno.</w:t>
      </w:r>
    </w:p>
    <w:p w14:paraId="4F2ED41D" w14:textId="77777777" w:rsidR="007A3BAE" w:rsidRDefault="007A3BAE" w:rsidP="007A3BAE">
      <w:pPr>
        <w:spacing w:line="257" w:lineRule="auto"/>
        <w:rPr>
          <w:rFonts w:eastAsiaTheme="minorEastAsia"/>
          <w:color w:val="242424"/>
          <w:sz w:val="21"/>
          <w:szCs w:val="21"/>
        </w:rPr>
      </w:pPr>
      <w:r>
        <w:rPr>
          <w:rFonts w:eastAsiaTheme="minorEastAsia"/>
          <w:color w:val="242424"/>
          <w:sz w:val="21"/>
          <w:szCs w:val="21"/>
        </w:rPr>
        <w:t xml:space="preserve">Na stránkách </w:t>
      </w:r>
      <w:hyperlink r:id="rId11" w:history="1">
        <w:r w:rsidRPr="000B3F85">
          <w:rPr>
            <w:rStyle w:val="Hypertextovodkaz"/>
            <w:rFonts w:eastAsiaTheme="minorEastAsia"/>
            <w:sz w:val="21"/>
            <w:szCs w:val="21"/>
          </w:rPr>
          <w:t>https://www.sberbank.cz/cs-cz/novinky</w:t>
        </w:r>
      </w:hyperlink>
      <w:r>
        <w:rPr>
          <w:rFonts w:eastAsiaTheme="minorEastAsia"/>
          <w:color w:val="242424"/>
          <w:sz w:val="21"/>
          <w:szCs w:val="21"/>
        </w:rPr>
        <w:t xml:space="preserve"> naleznete i odpovědi na časté dotazy.</w:t>
      </w:r>
    </w:p>
    <w:p w14:paraId="528C40A3" w14:textId="77777777" w:rsidR="007A3BAE" w:rsidRDefault="007A3BAE" w:rsidP="007A3BAE">
      <w:pPr>
        <w:spacing w:line="257" w:lineRule="auto"/>
        <w:rPr>
          <w:rFonts w:eastAsiaTheme="minorEastAsia"/>
          <w:color w:val="242424"/>
          <w:sz w:val="21"/>
          <w:szCs w:val="21"/>
        </w:rPr>
      </w:pPr>
      <w:r>
        <w:rPr>
          <w:rFonts w:eastAsiaTheme="minorEastAsia"/>
          <w:color w:val="242424"/>
          <w:sz w:val="21"/>
          <w:szCs w:val="21"/>
        </w:rPr>
        <w:t xml:space="preserve">Současně můžete využít i </w:t>
      </w:r>
      <w:hyperlink r:id="rId12" w:history="1">
        <w:r w:rsidRPr="000B3F85">
          <w:rPr>
            <w:rStyle w:val="Hypertextovodkaz"/>
            <w:rFonts w:eastAsiaTheme="minorEastAsia"/>
            <w:sz w:val="21"/>
            <w:szCs w:val="21"/>
          </w:rPr>
          <w:t>https://www.csob.cz/portal/ukrajina/klient-sberbank-jak-splacet</w:t>
        </w:r>
      </w:hyperlink>
      <w:r>
        <w:rPr>
          <w:rFonts w:eastAsiaTheme="minorEastAsia"/>
          <w:color w:val="242424"/>
          <w:sz w:val="21"/>
          <w:szCs w:val="21"/>
        </w:rPr>
        <w:t>, kde jsou informace ČSOB ohledně situace v Sberbank CZ</w:t>
      </w:r>
    </w:p>
    <w:p w14:paraId="1F5EC946" w14:textId="77777777" w:rsidR="007A3BAE" w:rsidRPr="008C59DE" w:rsidRDefault="007A3BAE" w:rsidP="007A3BAE">
      <w:pPr>
        <w:rPr>
          <w:rFonts w:eastAsiaTheme="minorEastAsia"/>
          <w:color w:val="242424"/>
        </w:rPr>
      </w:pPr>
      <w:r w:rsidRPr="527A5E75">
        <w:rPr>
          <w:rFonts w:eastAsiaTheme="minorEastAsia"/>
          <w:color w:val="242424"/>
          <w:shd w:val="clear" w:color="auto" w:fill="FFFFFF"/>
        </w:rPr>
        <w:t xml:space="preserve">Dále doporučuje klientům čerpat informace přímo od ČNB: </w:t>
      </w:r>
      <w:hyperlink r:id="rId13" w:history="1">
        <w:r w:rsidRPr="527A5E75">
          <w:rPr>
            <w:rStyle w:val="Hypertextovodkaz"/>
            <w:rFonts w:eastAsiaTheme="minorEastAsia"/>
            <w:shd w:val="clear" w:color="auto" w:fill="FFFFFF"/>
          </w:rPr>
          <w:t>https://www.cnb.cz/cs/casto-kladene-dotazy/Co-opatreni-CNB-vuci-Sberbank-CZ-znamena/</w:t>
        </w:r>
      </w:hyperlink>
      <w:r w:rsidRPr="527A5E75">
        <w:rPr>
          <w:rFonts w:eastAsiaTheme="minorEastAsia"/>
          <w:color w:val="242424"/>
          <w:shd w:val="clear" w:color="auto" w:fill="FFFFFF"/>
        </w:rPr>
        <w:t xml:space="preserve">. </w:t>
      </w:r>
    </w:p>
    <w:p w14:paraId="4C7EBD7D" w14:textId="77777777" w:rsidR="00472B70" w:rsidRDefault="00472B70"/>
    <w:sectPr w:rsidR="00472B70">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05A3" w14:textId="77777777" w:rsidR="007A3BAE" w:rsidRDefault="007A3BAE" w:rsidP="007A3BAE">
      <w:pPr>
        <w:spacing w:after="0" w:line="240" w:lineRule="auto"/>
      </w:pPr>
      <w:r>
        <w:separator/>
      </w:r>
    </w:p>
  </w:endnote>
  <w:endnote w:type="continuationSeparator" w:id="0">
    <w:p w14:paraId="283C14BF" w14:textId="77777777" w:rsidR="007A3BAE" w:rsidRDefault="007A3BAE" w:rsidP="007A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75AC" w14:textId="77777777" w:rsidR="007A3BAE" w:rsidRDefault="007A3BAE" w:rsidP="007A3BAE">
      <w:pPr>
        <w:spacing w:after="0" w:line="240" w:lineRule="auto"/>
      </w:pPr>
      <w:r>
        <w:separator/>
      </w:r>
    </w:p>
  </w:footnote>
  <w:footnote w:type="continuationSeparator" w:id="0">
    <w:p w14:paraId="3F7D3F17" w14:textId="77777777" w:rsidR="007A3BAE" w:rsidRDefault="007A3BAE" w:rsidP="007A3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D5B9D" w14:textId="3A200F43" w:rsidR="007A3BAE" w:rsidRDefault="007A3BAE">
    <w:pPr>
      <w:pStyle w:val="Zhlav"/>
    </w:pPr>
    <w:r>
      <w:rPr>
        <w:noProof/>
      </w:rPr>
      <mc:AlternateContent>
        <mc:Choice Requires="wps">
          <w:drawing>
            <wp:anchor distT="0" distB="0" distL="114300" distR="114300" simplePos="0" relativeHeight="251659264" behindDoc="0" locked="0" layoutInCell="0" allowOverlap="1" wp14:anchorId="7AF641F9" wp14:editId="1EA8C00C">
              <wp:simplePos x="0" y="0"/>
              <wp:positionH relativeFrom="page">
                <wp:posOffset>0</wp:posOffset>
              </wp:positionH>
              <wp:positionV relativeFrom="page">
                <wp:posOffset>190500</wp:posOffset>
              </wp:positionV>
              <wp:extent cx="7560310" cy="273050"/>
              <wp:effectExtent l="0" t="0" r="0" b="12700"/>
              <wp:wrapNone/>
              <wp:docPr id="1" name="MSIPCM2f7b4126b4975a97830f2d4a" descr="{&quot;HashCode&quot;:-6673436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BD51B9" w14:textId="15031EB1" w:rsidR="007A3BAE" w:rsidRPr="007A3BAE" w:rsidRDefault="007A3BAE" w:rsidP="007A3BAE">
                          <w:pPr>
                            <w:spacing w:after="0"/>
                            <w:jc w:val="center"/>
                            <w:rPr>
                              <w:rFonts w:ascii="Calibri" w:hAnsi="Calibri" w:cs="Calibri"/>
                              <w:color w:val="000000"/>
                              <w:sz w:val="20"/>
                            </w:rPr>
                          </w:pPr>
                          <w:r w:rsidRPr="007A3BAE">
                            <w:rPr>
                              <w:rFonts w:ascii="Calibri" w:hAnsi="Calibri" w:cs="Calibri"/>
                              <w:color w:val="000000"/>
                              <w:sz w:val="20"/>
                            </w:rPr>
                            <w:t>Public</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AF641F9" id="_x0000_t202" coordsize="21600,21600" o:spt="202" path="m,l,21600r21600,l21600,xe">
              <v:stroke joinstyle="miter"/>
              <v:path gradientshapeok="t" o:connecttype="rect"/>
            </v:shapetype>
            <v:shape id="MSIPCM2f7b4126b4975a97830f2d4a" o:spid="_x0000_s1026" type="#_x0000_t202" alt="{&quot;HashCode&quot;:-66734365,&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" o:allowincell="f" filled="f" stroked="f" strokeweight=".5pt">
              <v:textbox inset=",0,,0">
                <w:txbxContent>
                  <w:p w14:paraId="07BD51B9" w14:textId="15031EB1" w:rsidR="007A3BAE" w:rsidRPr="007A3BAE" w:rsidRDefault="007A3BAE" w:rsidP="007A3BAE">
                    <w:pPr>
                      <w:spacing w:after="0"/>
                      <w:jc w:val="center"/>
                      <w:rPr>
                        <w:rFonts w:ascii="Calibri" w:hAnsi="Calibri" w:cs="Calibri"/>
                        <w:color w:val="000000"/>
                        <w:sz w:val="20"/>
                      </w:rPr>
                    </w:pPr>
                    <w:r w:rsidRPr="007A3BAE">
                      <w:rPr>
                        <w:rFonts w:ascii="Calibri" w:hAnsi="Calibri" w:cs="Calibri"/>
                        <w:color w:val="000000"/>
                        <w:sz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5221B"/>
    <w:multiLevelType w:val="hybridMultilevel"/>
    <w:tmpl w:val="E886E23A"/>
    <w:lvl w:ilvl="0" w:tplc="CE6EF412">
      <w:numFmt w:val="bullet"/>
      <w:lvlText w:val="-"/>
      <w:lvlJc w:val="left"/>
      <w:pPr>
        <w:ind w:left="720" w:hanging="360"/>
      </w:pPr>
      <w:rPr>
        <w:rFonts w:ascii="Calibri" w:eastAsia="Calibr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7F900FB7"/>
    <w:multiLevelType w:val="hybridMultilevel"/>
    <w:tmpl w:val="3B2217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AE"/>
    <w:rsid w:val="003017DB"/>
    <w:rsid w:val="00303ED5"/>
    <w:rsid w:val="00472B70"/>
    <w:rsid w:val="005C3010"/>
    <w:rsid w:val="006A59BB"/>
    <w:rsid w:val="006E41B7"/>
    <w:rsid w:val="00761976"/>
    <w:rsid w:val="007726DA"/>
    <w:rsid w:val="007A3BAE"/>
    <w:rsid w:val="00A75188"/>
    <w:rsid w:val="00AA7252"/>
    <w:rsid w:val="00B659D7"/>
    <w:rsid w:val="00C81BED"/>
    <w:rsid w:val="00DB107B"/>
    <w:rsid w:val="00DC13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D79D7"/>
  <w15:chartTrackingRefBased/>
  <w15:docId w15:val="{A33BB381-52DC-4FBD-9A1F-FD1EBC28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A3BAE"/>
  </w:style>
  <w:style w:type="paragraph" w:styleId="Nadpis2">
    <w:name w:val="heading 2"/>
    <w:basedOn w:val="Normln"/>
    <w:next w:val="Normln"/>
    <w:link w:val="Nadpis2Char"/>
    <w:uiPriority w:val="9"/>
    <w:unhideWhenUsed/>
    <w:qFormat/>
    <w:rsid w:val="007A3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A3BA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A3BAE"/>
  </w:style>
  <w:style w:type="paragraph" w:styleId="Zpat">
    <w:name w:val="footer"/>
    <w:basedOn w:val="Normln"/>
    <w:link w:val="ZpatChar"/>
    <w:uiPriority w:val="99"/>
    <w:unhideWhenUsed/>
    <w:rsid w:val="007A3BAE"/>
    <w:pPr>
      <w:tabs>
        <w:tab w:val="center" w:pos="4536"/>
        <w:tab w:val="right" w:pos="9072"/>
      </w:tabs>
      <w:spacing w:after="0" w:line="240" w:lineRule="auto"/>
    </w:pPr>
  </w:style>
  <w:style w:type="character" w:customStyle="1" w:styleId="ZpatChar">
    <w:name w:val="Zápatí Char"/>
    <w:basedOn w:val="Standardnpsmoodstavce"/>
    <w:link w:val="Zpat"/>
    <w:uiPriority w:val="99"/>
    <w:rsid w:val="007A3BAE"/>
  </w:style>
  <w:style w:type="character" w:customStyle="1" w:styleId="Nadpis2Char">
    <w:name w:val="Nadpis 2 Char"/>
    <w:basedOn w:val="Standardnpsmoodstavce"/>
    <w:link w:val="Nadpis2"/>
    <w:uiPriority w:val="9"/>
    <w:rsid w:val="007A3BAE"/>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7A3BAE"/>
    <w:rPr>
      <w:color w:val="0563C1"/>
      <w:u w:val="single"/>
    </w:rPr>
  </w:style>
  <w:style w:type="paragraph" w:styleId="Odstavecseseznamem">
    <w:name w:val="List Paragraph"/>
    <w:basedOn w:val="Normln"/>
    <w:uiPriority w:val="34"/>
    <w:qFormat/>
    <w:rsid w:val="007A3BAE"/>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pravauveru@sberbankcz.cz" TargetMode="External"/><Relationship Id="rId13" Type="http://schemas.openxmlformats.org/officeDocument/2006/relationships/hyperlink" Target="https://www.cnb.cz/cs/casto-kladene-dotazy/Co-opatreni-CNB-vuci-Sberbank-CZ-znamena/"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sberbank.cz/cs-cz/novinky/informace-pro-klienty-ohledne-splaceni-uveru" TargetMode="External"/><Relationship Id="rId12" Type="http://schemas.openxmlformats.org/officeDocument/2006/relationships/hyperlink" Target="https://www.csob.cz/portal/ukrajina/klient-sberbank-jak-splacet"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berbank.cz/cs-cz/novink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berbank.cz/cs-cz/novinky/informace-pro-klienty-ohledne-splaceni-uveru"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mailto:spravauveru@sberbankcz.cz" TargetMode="External"/><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84FBECE65EAA4DB77ADDEB10348A33" ma:contentTypeVersion="1" ma:contentTypeDescription="Vytvoří nový dokument" ma:contentTypeScope="" ma:versionID="7b95c9f83d801f4203de81c6d7cc71da">
  <xsd:schema xmlns:xsd="http://www.w3.org/2001/XMLSchema" xmlns:xs="http://www.w3.org/2001/XMLSchema" xmlns:p="http://schemas.microsoft.com/office/2006/metadata/properties" xmlns:ns2="2c3f4b78-133b-479c-89a3-ad7c5c1f086d" targetNamespace="http://schemas.microsoft.com/office/2006/metadata/properties" ma:root="true" ma:fieldsID="f1982dc3d408ab518516acc070725234" ns2:_="">
    <xsd:import namespace="2c3f4b78-133b-479c-89a3-ad7c5c1f086d"/>
    <xsd:element name="properties">
      <xsd:complexType>
        <xsd:sequence>
          <xsd:element name="documentManagement">
            <xsd:complexType>
              <xsd:all>
                <xsd:element ref="ns2:Popi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f4b78-133b-479c-89a3-ad7c5c1f086d" elementFormDefault="qualified">
    <xsd:import namespace="http://schemas.microsoft.com/office/2006/documentManagement/types"/>
    <xsd:import namespace="http://schemas.microsoft.com/office/infopath/2007/PartnerControls"/>
    <xsd:element name="Popis" ma:index="8" nillable="true" ma:displayName="Popis" ma:internalName="Popi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opis xmlns="2c3f4b78-133b-479c-89a3-ad7c5c1f086d" xsi:nil="true"/>
  </documentManagement>
</p:properties>
</file>

<file path=customXml/itemProps1.xml><?xml version="1.0" encoding="utf-8"?>
<ds:datastoreItem xmlns:ds="http://schemas.openxmlformats.org/officeDocument/2006/customXml" ds:itemID="{E41A85DB-977B-47D4-88EC-4CE2FD04C1F3}"/>
</file>

<file path=customXml/itemProps2.xml><?xml version="1.0" encoding="utf-8"?>
<ds:datastoreItem xmlns:ds="http://schemas.openxmlformats.org/officeDocument/2006/customXml" ds:itemID="{8A603D73-2C2E-460A-9B63-835B39769D63}"/>
</file>

<file path=customXml/itemProps3.xml><?xml version="1.0" encoding="utf-8"?>
<ds:datastoreItem xmlns:ds="http://schemas.openxmlformats.org/officeDocument/2006/customXml" ds:itemID="{29BF1BB4-9C02-407B-82F1-E251EEFFEC5A}"/>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6537</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KRUPIČKOVÁ Lenka</dc:creator>
  <cp:keywords/>
  <dc:description/>
  <cp:lastModifiedBy>KRUPIČKOVÁ Lenka</cp:lastModifiedBy>
  <cp:revision>6</cp:revision>
  <dcterms:created xsi:type="dcterms:W3CDTF">2022-03-09T15:39:00Z</dcterms:created>
  <dcterms:modified xsi:type="dcterms:W3CDTF">2022-03-10T09:03:00Z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a63cc4-2ec6-44d2-91a5-2f2bdabdec44_Enabled">
    <vt:lpwstr>true</vt:lpwstr>
  </property>
  <property fmtid="{D5CDD505-2E9C-101B-9397-08002B2CF9AE}" pid="3" name="MSIP_Label_a5a63cc4-2ec6-44d2-91a5-2f2bdabdec44_SetDate">
    <vt:lpwstr>2022-03-10T09:03:30Z</vt:lpwstr>
  </property>
  <property fmtid="{D5CDD505-2E9C-101B-9397-08002B2CF9AE}" pid="4" name="MSIP_Label_a5a63cc4-2ec6-44d2-91a5-2f2bdabdec44_Method">
    <vt:lpwstr>Privileged</vt:lpwstr>
  </property>
  <property fmtid="{D5CDD505-2E9C-101B-9397-08002B2CF9AE}" pid="5" name="MSIP_Label_a5a63cc4-2ec6-44d2-91a5-2f2bdabdec44_Name">
    <vt:lpwstr>a5a63cc4-2ec6-44d2-91a5-2f2bdabdec44</vt:lpwstr>
  </property>
  <property fmtid="{D5CDD505-2E9C-101B-9397-08002B2CF9AE}" pid="6" name="MSIP_Label_a5a63cc4-2ec6-44d2-91a5-2f2bdabdec44_SiteId">
    <vt:lpwstr>64af2aee-7d6c-49ac-a409-192d3fee73b8</vt:lpwstr>
  </property>
  <property fmtid="{D5CDD505-2E9C-101B-9397-08002B2CF9AE}" pid="7" name="MSIP_Label_a5a63cc4-2ec6-44d2-91a5-2f2bdabdec44_ActionId">
    <vt:lpwstr>2399f695-7f6e-4532-8b2c-425e77da84a4</vt:lpwstr>
  </property>
  <property fmtid="{D5CDD505-2E9C-101B-9397-08002B2CF9AE}" pid="8" name="MSIP_Label_a5a63cc4-2ec6-44d2-91a5-2f2bdabdec44_ContentBits">
    <vt:lpwstr>1</vt:lpwstr>
  </property>
  <property fmtid="{D5CDD505-2E9C-101B-9397-08002B2CF9AE}" pid="9" name="ContentTypeId">
    <vt:lpwstr>0x0101009D84FBECE65EAA4DB77ADDEB10348A33</vt:lpwstr>
  </property>
</Properties>
</file>