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0F594" w14:textId="7D810BF0" w:rsidR="001D1391" w:rsidRDefault="001E40CC" w:rsidP="001E40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B40154" wp14:editId="0B1C6023">
                <wp:simplePos x="0" y="0"/>
                <wp:positionH relativeFrom="column">
                  <wp:posOffset>3588385</wp:posOffset>
                </wp:positionH>
                <wp:positionV relativeFrom="paragraph">
                  <wp:posOffset>0</wp:posOffset>
                </wp:positionV>
                <wp:extent cx="2727960" cy="3048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30F0F" w14:textId="371CBF91" w:rsidR="001E40CC" w:rsidRPr="001E40CC" w:rsidRDefault="001E40C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E40C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PŘÍJMY ŽADATELE O HYPOTEČNÍ ÚVĚR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015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82.55pt;margin-top:0;width:214.8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" fillcolor="#00b0f0" stroked="f">
                <v:textbox>
                  <w:txbxContent>
                    <w:p w14:paraId="11730F0F" w14:textId="371CBF91" w:rsidR="001E40CC" w:rsidRPr="001E40CC" w:rsidRDefault="001E40C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E40CC">
                        <w:rPr>
                          <w:b/>
                          <w:bCs/>
                          <w:color w:val="FFFFFF" w:themeColor="background1"/>
                        </w:rPr>
                        <w:t>PŘÍJMY ŽADATELE O HYPOTEČNÍ ÚVĚR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02B7DC" w14:textId="75943DB7" w:rsidR="001D1391" w:rsidRDefault="001E40CC" w:rsidP="00FF3E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E4B538" wp14:editId="3262EAB0">
                <wp:simplePos x="0" y="0"/>
                <wp:positionH relativeFrom="column">
                  <wp:posOffset>2643505</wp:posOffset>
                </wp:positionH>
                <wp:positionV relativeFrom="paragraph">
                  <wp:posOffset>48895</wp:posOffset>
                </wp:positionV>
                <wp:extent cx="3688080" cy="305435"/>
                <wp:effectExtent l="0" t="0" r="7620" b="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3054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4DDC3" w14:textId="1D9B7018" w:rsidR="001E40CC" w:rsidRPr="001E40CC" w:rsidRDefault="001E40C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E40C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PŘÍJMY Z HOSPODÁŘSKÉHO VÝSLEDKU SPOLEČNOSTI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B538" id="_x0000_s1027" type="#_x0000_t202" style="position:absolute;margin-left:208.15pt;margin-top:3.85pt;width:290.4pt;height:2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" fillcolor="#00b0f0" stroked="f">
                <v:textbox>
                  <w:txbxContent>
                    <w:p w14:paraId="3CC4DDC3" w14:textId="1D9B7018" w:rsidR="001E40CC" w:rsidRPr="001E40CC" w:rsidRDefault="001E40C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E40CC">
                        <w:rPr>
                          <w:b/>
                          <w:bCs/>
                          <w:color w:val="FFFFFF" w:themeColor="background1"/>
                        </w:rPr>
                        <w:t>PŘÍJMY Z HOSPODÁŘSKÉHO VÝSLEDKU SPOLEČNOSTI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8188C" w14:textId="77777777" w:rsidR="001D1391" w:rsidRDefault="001D1391" w:rsidP="00FF3E5F"/>
    <w:p w14:paraId="4DB5E94F" w14:textId="2B347A7A" w:rsidR="001D1391" w:rsidRDefault="001D1391" w:rsidP="00FF3E5F"/>
    <w:p w14:paraId="7DA401C9" w14:textId="71E71D03" w:rsidR="004C6F22" w:rsidRDefault="00C410F6" w:rsidP="000F0A58">
      <w:pPr>
        <w:pStyle w:val="Bezmezer"/>
        <w:rPr>
          <w:sz w:val="20"/>
          <w:szCs w:val="20"/>
        </w:rPr>
      </w:pPr>
      <w:r w:rsidRPr="00C410F6">
        <w:rPr>
          <w:b/>
          <w:bCs/>
          <w:sz w:val="28"/>
          <w:szCs w:val="28"/>
        </w:rPr>
        <w:t>Příjmy z hospodářského výsledku společnosti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F94517">
        <w:rPr>
          <w:color w:val="C00000"/>
          <w:sz w:val="20"/>
          <w:szCs w:val="20"/>
        </w:rPr>
        <w:t xml:space="preserve">S účinností od </w:t>
      </w:r>
      <w:r w:rsidR="00F94517" w:rsidRPr="00F94517">
        <w:rPr>
          <w:color w:val="C00000"/>
          <w:sz w:val="20"/>
          <w:szCs w:val="20"/>
        </w:rPr>
        <w:t xml:space="preserve">3. července </w:t>
      </w:r>
      <w:r w:rsidRPr="00F94517">
        <w:rPr>
          <w:color w:val="C00000"/>
          <w:sz w:val="20"/>
          <w:szCs w:val="20"/>
        </w:rPr>
        <w:t>2024</w:t>
      </w:r>
      <w:r w:rsidRPr="00C410F6">
        <w:rPr>
          <w:color w:val="C00000"/>
          <w:sz w:val="20"/>
          <w:szCs w:val="20"/>
        </w:rPr>
        <w:t xml:space="preserve"> </w:t>
      </w:r>
      <w:r w:rsidRPr="00C410F6">
        <w:rPr>
          <w:sz w:val="20"/>
          <w:szCs w:val="20"/>
        </w:rPr>
        <w:t>dochází ke zpřesnění metodických pravidel týkajících se příjmu pocházejícího z hospodářského výsledku společnosti, ve které má žadatel spoluvlastnický podí</w:t>
      </w:r>
      <w:r>
        <w:rPr>
          <w:sz w:val="20"/>
          <w:szCs w:val="20"/>
        </w:rPr>
        <w:t>l</w:t>
      </w:r>
      <w:r w:rsidRPr="00C410F6">
        <w:rPr>
          <w:sz w:val="20"/>
          <w:szCs w:val="20"/>
        </w:rPr>
        <w:t>.</w:t>
      </w:r>
      <w:r w:rsidR="000F0A58">
        <w:rPr>
          <w:sz w:val="20"/>
          <w:szCs w:val="20"/>
        </w:rPr>
        <w:br/>
      </w:r>
      <w:r w:rsidR="004C6F22">
        <w:rPr>
          <w:sz w:val="20"/>
          <w:szCs w:val="20"/>
        </w:rPr>
        <w:br/>
      </w:r>
      <w:r w:rsidR="004C6F22" w:rsidRPr="004C6F22">
        <w:rPr>
          <w:sz w:val="20"/>
          <w:szCs w:val="20"/>
        </w:rPr>
        <w:t xml:space="preserve">Změny budou promítnuty do </w:t>
      </w:r>
      <w:r w:rsidR="000F0A58">
        <w:rPr>
          <w:sz w:val="20"/>
          <w:szCs w:val="20"/>
        </w:rPr>
        <w:t>Pokynu pro externí partnery a ČSOBS při pravidelné aktualizaci, do této doby jsou k dispozici na Informatoriu.</w:t>
      </w:r>
    </w:p>
    <w:p w14:paraId="01657A7F" w14:textId="77777777" w:rsidR="004C6F22" w:rsidRPr="004C6F22" w:rsidRDefault="004C6F22" w:rsidP="004C6F22">
      <w:pPr>
        <w:pStyle w:val="Bezmezer"/>
        <w:spacing w:after="0"/>
        <w:rPr>
          <w:sz w:val="24"/>
          <w:szCs w:val="24"/>
        </w:rPr>
      </w:pPr>
    </w:p>
    <w:p w14:paraId="345FFAE4" w14:textId="7FDAEF72" w:rsidR="004C6F22" w:rsidRPr="004C6F22" w:rsidRDefault="004C6F22" w:rsidP="004C6F22">
      <w:pPr>
        <w:pStyle w:val="Styl1"/>
        <w:rPr>
          <w:szCs w:val="24"/>
        </w:rPr>
      </w:pPr>
      <w:r w:rsidRPr="004C6F22">
        <w:rPr>
          <w:szCs w:val="24"/>
        </w:rPr>
        <w:t>PŘÍJMY Z HOSPODÁŘSKÉHO VÝSLEDKU SPOLEČNOSTI</w:t>
      </w:r>
      <w:r>
        <w:rPr>
          <w:szCs w:val="24"/>
        </w:rPr>
        <w:t xml:space="preserve"> </w:t>
      </w:r>
      <w:r>
        <w:rPr>
          <w:szCs w:val="24"/>
        </w:rPr>
        <w:br/>
      </w:r>
      <w:r w:rsidRPr="004C6F22">
        <w:rPr>
          <w:szCs w:val="24"/>
        </w:rPr>
        <w:t>- UPRAVENÝ VÝŇATEK METODIKY</w:t>
      </w:r>
    </w:p>
    <w:p w14:paraId="7CB581C2" w14:textId="77777777" w:rsidR="00E6084E" w:rsidRDefault="00C236DC" w:rsidP="00E6084E">
      <w:pPr>
        <w:pStyle w:val="Podnadpis"/>
        <w:numPr>
          <w:ilvl w:val="0"/>
          <w:numId w:val="0"/>
        </w:numPr>
        <w:ind w:left="468"/>
      </w:pPr>
      <w:bookmarkStart w:id="0" w:name="_Ref101284911"/>
      <w:bookmarkStart w:id="1" w:name="_Toc149651313"/>
      <w:r w:rsidRPr="00C236DC">
        <w:t xml:space="preserve"> </w:t>
      </w:r>
    </w:p>
    <w:p w14:paraId="7D6B88CD" w14:textId="36CCFA87" w:rsidR="00C236DC" w:rsidRPr="00C236DC" w:rsidRDefault="00C236DC" w:rsidP="000F0A58">
      <w:pPr>
        <w:pStyle w:val="Podnadpis"/>
        <w:numPr>
          <w:ilvl w:val="1"/>
          <w:numId w:val="8"/>
        </w:numPr>
      </w:pPr>
      <w:r w:rsidRPr="00C236DC">
        <w:t xml:space="preserve">Příjmy </w:t>
      </w:r>
      <w:bookmarkEnd w:id="0"/>
      <w:r w:rsidRPr="00C236DC">
        <w:t>z hospodářského výsledku společnosti</w:t>
      </w:r>
      <w:bookmarkEnd w:id="1"/>
    </w:p>
    <w:p w14:paraId="2F246EA2" w14:textId="4D6A904C" w:rsidR="000F0A58" w:rsidRPr="000F0A58" w:rsidRDefault="00C236DC" w:rsidP="000F0A58">
      <w:pPr>
        <w:suppressAutoHyphens/>
        <w:spacing w:line="239" w:lineRule="auto"/>
        <w:rPr>
          <w:sz w:val="20"/>
          <w:szCs w:val="20"/>
        </w:rPr>
      </w:pPr>
      <w:r w:rsidRPr="00C236DC">
        <w:rPr>
          <w:b/>
          <w:sz w:val="20"/>
          <w:szCs w:val="20"/>
        </w:rPr>
        <w:br/>
      </w:r>
      <w:r w:rsidRPr="00C236DC">
        <w:rPr>
          <w:sz w:val="20"/>
          <w:szCs w:val="20"/>
        </w:rPr>
        <w:t xml:space="preserve">Do příjmů žadatele lze započítat příjem </w:t>
      </w:r>
      <w:r w:rsidRPr="00C236DC">
        <w:rPr>
          <w:b/>
          <w:bCs/>
          <w:sz w:val="20"/>
          <w:szCs w:val="20"/>
        </w:rPr>
        <w:t xml:space="preserve">z hospodářského výsledku po zdanění společnosti </w:t>
      </w:r>
      <w:r>
        <w:rPr>
          <w:b/>
          <w:bCs/>
          <w:sz w:val="20"/>
          <w:szCs w:val="20"/>
        </w:rPr>
        <w:br/>
      </w:r>
      <w:r w:rsidRPr="00C236DC">
        <w:rPr>
          <w:b/>
          <w:bCs/>
          <w:sz w:val="20"/>
          <w:szCs w:val="20"/>
        </w:rPr>
        <w:t>s. r. o.</w:t>
      </w:r>
      <w:r w:rsidRPr="00C236DC">
        <w:rPr>
          <w:sz w:val="20"/>
          <w:szCs w:val="20"/>
        </w:rPr>
        <w:t xml:space="preserve"> </w:t>
      </w:r>
      <w:r w:rsidRPr="00C236DC">
        <w:rPr>
          <w:b/>
          <w:bCs/>
          <w:sz w:val="20"/>
          <w:szCs w:val="20"/>
        </w:rPr>
        <w:t>za běžné období</w:t>
      </w:r>
      <w:r w:rsidRPr="00C236DC">
        <w:rPr>
          <w:sz w:val="20"/>
          <w:szCs w:val="20"/>
        </w:rPr>
        <w:t xml:space="preserve">, ve které má žadatel </w:t>
      </w:r>
      <w:r w:rsidRPr="00C236DC">
        <w:rPr>
          <w:b/>
          <w:bCs/>
          <w:sz w:val="20"/>
          <w:szCs w:val="20"/>
        </w:rPr>
        <w:t>spoluvlastnický podíl v jakékoliv výši</w:t>
      </w:r>
      <w:r w:rsidRPr="00C236DC">
        <w:rPr>
          <w:sz w:val="20"/>
          <w:szCs w:val="20"/>
        </w:rPr>
        <w:t xml:space="preserve">. Současně platí, že o rozdělení hospodářského výsledku nemusí být dosud valnou hromadou rozhodnuto, resp. podíl nemusí být společníkovi vyplacen (není požadován zápis z valné hromady ani výpisy z účtu prokazující výplatu podílu). </w:t>
      </w:r>
      <w:r w:rsidR="000F0A58">
        <w:rPr>
          <w:sz w:val="20"/>
          <w:szCs w:val="20"/>
        </w:rPr>
        <w:br/>
      </w:r>
      <w:r w:rsidR="000F0A58">
        <w:rPr>
          <w:sz w:val="20"/>
          <w:szCs w:val="20"/>
        </w:rPr>
        <w:br/>
      </w:r>
      <w:r w:rsidR="000F0A58" w:rsidRPr="000F0A58">
        <w:rPr>
          <w:b/>
          <w:bCs/>
          <w:sz w:val="20"/>
          <w:szCs w:val="20"/>
        </w:rPr>
        <w:t xml:space="preserve">Příjem z podílu na zisku společnosti s.r.o. z minulých let </w:t>
      </w:r>
      <w:r w:rsidR="000F0A58" w:rsidRPr="000F0A58">
        <w:rPr>
          <w:sz w:val="20"/>
          <w:szCs w:val="20"/>
        </w:rPr>
        <w:t>(valnou hromadou bylo již rozhodnuto o rozdělení zisku, záloha min. 25 % byla vyplacena) lze akceptovat individuálně, pobočka projednává tyto případy na ústředí Banky.</w:t>
      </w:r>
    </w:p>
    <w:p w14:paraId="23B50D2D" w14:textId="77777777" w:rsidR="000F0A58" w:rsidRPr="000F0A58" w:rsidRDefault="000F0A58" w:rsidP="000F0A58">
      <w:pPr>
        <w:suppressAutoHyphens/>
        <w:spacing w:line="239" w:lineRule="auto"/>
        <w:rPr>
          <w:sz w:val="20"/>
          <w:szCs w:val="20"/>
        </w:rPr>
      </w:pPr>
      <w:r w:rsidRPr="000F0A58">
        <w:rPr>
          <w:b/>
          <w:bCs/>
          <w:sz w:val="20"/>
          <w:szCs w:val="20"/>
        </w:rPr>
        <w:t>Příjem z hospodářského výsledku společnosti s.r.o. za minulá období</w:t>
      </w:r>
      <w:r w:rsidRPr="000F0A58">
        <w:rPr>
          <w:sz w:val="20"/>
          <w:szCs w:val="20"/>
        </w:rPr>
        <w:t xml:space="preserve"> (valnou hromadou nebylo rozhodnuto o rozdělení zisku, záloha nebyla vyplacena) ani kombinaci tohoto příjmu s příjmem z hospodářského výsledku společnosti s.r.o. za běžné období neakceptujeme.</w:t>
      </w:r>
    </w:p>
    <w:p w14:paraId="48BBE639" w14:textId="73C74665" w:rsidR="00C236DC" w:rsidRPr="00C236DC" w:rsidRDefault="00C236DC" w:rsidP="00C236DC">
      <w:pPr>
        <w:pStyle w:val="Bezmezer"/>
        <w:rPr>
          <w:sz w:val="20"/>
          <w:szCs w:val="20"/>
        </w:rPr>
      </w:pPr>
    </w:p>
    <w:p w14:paraId="4CFB8CCF" w14:textId="77777777" w:rsidR="00C236DC" w:rsidRPr="00C236DC" w:rsidRDefault="00C236DC" w:rsidP="00C236DC">
      <w:pPr>
        <w:suppressAutoHyphens/>
        <w:spacing w:line="239" w:lineRule="auto"/>
        <w:rPr>
          <w:b/>
          <w:bCs/>
          <w:sz w:val="20"/>
          <w:szCs w:val="20"/>
        </w:rPr>
      </w:pPr>
      <w:bookmarkStart w:id="2" w:name="_Hlk118895255"/>
      <w:r w:rsidRPr="00C236DC">
        <w:rPr>
          <w:b/>
          <w:bCs/>
          <w:sz w:val="20"/>
          <w:szCs w:val="20"/>
        </w:rPr>
        <w:t>Výpočet příjmu</w:t>
      </w:r>
      <w:r w:rsidRPr="00C236DC">
        <w:rPr>
          <w:b/>
          <w:bCs/>
          <w:sz w:val="20"/>
          <w:szCs w:val="20"/>
        </w:rPr>
        <w:br/>
      </w:r>
    </w:p>
    <w:p w14:paraId="6955CDD8" w14:textId="77777777" w:rsidR="00C236DC" w:rsidRPr="00C236DC" w:rsidRDefault="00C236DC" w:rsidP="00C236DC">
      <w:pPr>
        <w:pStyle w:val="Bezmezer"/>
        <w:ind w:left="2124"/>
        <w:rPr>
          <w:rFonts w:cs="Arial"/>
          <w:bCs/>
          <w:sz w:val="20"/>
          <w:szCs w:val="20"/>
        </w:rPr>
      </w:pPr>
      <w:r w:rsidRPr="00C236DC">
        <w:rPr>
          <w:rFonts w:cs="Arial"/>
          <w:bCs/>
          <w:sz w:val="20"/>
          <w:szCs w:val="20"/>
        </w:rPr>
        <w:t xml:space="preserve">Hospodářský výsledek po zdanění v běžném období* </w:t>
      </w:r>
      <w:r w:rsidRPr="00C236DC">
        <w:rPr>
          <w:rFonts w:cs="Arial"/>
          <w:bCs/>
          <w:sz w:val="20"/>
          <w:szCs w:val="20"/>
        </w:rPr>
        <w:br/>
        <w:t xml:space="preserve">                     </w:t>
      </w:r>
      <w:proofErr w:type="gramStart"/>
      <w:r w:rsidRPr="00C236DC">
        <w:rPr>
          <w:rFonts w:cs="Arial"/>
          <w:bCs/>
          <w:sz w:val="20"/>
          <w:szCs w:val="20"/>
        </w:rPr>
        <w:t xml:space="preserve">   (</w:t>
      </w:r>
      <w:proofErr w:type="gramEnd"/>
      <w:r w:rsidRPr="00C236DC">
        <w:rPr>
          <w:rFonts w:cs="Arial"/>
          <w:bCs/>
          <w:sz w:val="20"/>
          <w:szCs w:val="20"/>
        </w:rPr>
        <w:t>dle Výkazu Zisků a ztrát)</w:t>
      </w:r>
    </w:p>
    <w:p w14:paraId="1BC6CB4F" w14:textId="77777777" w:rsidR="00C236DC" w:rsidRPr="00C236DC" w:rsidRDefault="00C236DC" w:rsidP="00C236DC">
      <w:pPr>
        <w:pStyle w:val="Bezmezer"/>
        <w:rPr>
          <w:rFonts w:cs="Arial"/>
          <w:bCs/>
          <w:sz w:val="20"/>
          <w:szCs w:val="20"/>
        </w:rPr>
      </w:pPr>
      <w:r w:rsidRPr="00C236DC">
        <w:rPr>
          <w:rFonts w:cs="Arial"/>
          <w:bCs/>
          <w:sz w:val="20"/>
          <w:szCs w:val="20"/>
        </w:rPr>
        <w:t>Čistý měsíční příjem =   ---------------------------------------------------------------------------- x 0,85</w:t>
      </w:r>
    </w:p>
    <w:p w14:paraId="3472687F" w14:textId="77777777" w:rsidR="00C236DC" w:rsidRPr="00C236DC" w:rsidRDefault="00C236DC" w:rsidP="00C236DC">
      <w:pPr>
        <w:pStyle w:val="Bezmezer"/>
        <w:rPr>
          <w:rFonts w:cs="Arial"/>
          <w:bCs/>
          <w:sz w:val="20"/>
          <w:szCs w:val="20"/>
        </w:rPr>
      </w:pPr>
      <w:r w:rsidRPr="00C236DC">
        <w:rPr>
          <w:rFonts w:cs="Arial"/>
          <w:bCs/>
          <w:sz w:val="20"/>
          <w:szCs w:val="20"/>
        </w:rPr>
        <w:tab/>
        <w:t xml:space="preserve">                                                                   12M</w:t>
      </w:r>
    </w:p>
    <w:p w14:paraId="241F9EF7" w14:textId="69A09435" w:rsidR="00C236DC" w:rsidRDefault="00C236DC" w:rsidP="00C236DC">
      <w:pPr>
        <w:rPr>
          <w:sz w:val="20"/>
          <w:szCs w:val="20"/>
        </w:rPr>
      </w:pPr>
      <w:r w:rsidRPr="00C236DC">
        <w:rPr>
          <w:sz w:val="20"/>
          <w:szCs w:val="20"/>
        </w:rPr>
        <w:br/>
      </w:r>
      <w:r w:rsidRPr="00C236DC"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</w:r>
      <w:r w:rsidRPr="00C236DC">
        <w:rPr>
          <w:sz w:val="20"/>
          <w:szCs w:val="20"/>
        </w:rPr>
        <w:t xml:space="preserve">* Pokud není žadatel o úvěr </w:t>
      </w:r>
      <w:r w:rsidR="00EC4C6E" w:rsidRPr="00C236DC">
        <w:rPr>
          <w:sz w:val="20"/>
          <w:szCs w:val="20"/>
        </w:rPr>
        <w:t>100 %</w:t>
      </w:r>
      <w:r w:rsidRPr="00C236DC">
        <w:rPr>
          <w:sz w:val="20"/>
          <w:szCs w:val="20"/>
        </w:rPr>
        <w:t xml:space="preserve"> vlastníkem společnosti, do příjmu lze započítat pouze </w:t>
      </w:r>
      <w:r w:rsidRPr="00C236DC">
        <w:rPr>
          <w:b/>
          <w:bCs/>
          <w:sz w:val="20"/>
          <w:szCs w:val="20"/>
        </w:rPr>
        <w:t>adekvátní podíl na hospodářském výsledku, který žadateli náleží</w:t>
      </w:r>
      <w:r w:rsidRPr="00C236DC">
        <w:rPr>
          <w:sz w:val="20"/>
          <w:szCs w:val="20"/>
        </w:rPr>
        <w:t xml:space="preserve"> (např.: Z OR je patrný obchodní podíl ve výši 50 %, tzn. že stanovený příjem musí být pokrácen na ½).</w:t>
      </w:r>
    </w:p>
    <w:p w14:paraId="5440CE23" w14:textId="430BE098" w:rsidR="00AE4B88" w:rsidRDefault="00C236DC" w:rsidP="00C236DC">
      <w:pPr>
        <w:rPr>
          <w:color w:val="00B0F0"/>
          <w:sz w:val="20"/>
          <w:szCs w:val="20"/>
        </w:rPr>
      </w:pPr>
      <w:r w:rsidRPr="004669ED">
        <w:rPr>
          <w:color w:val="00B0F0"/>
          <w:sz w:val="20"/>
          <w:szCs w:val="20"/>
        </w:rPr>
        <w:t xml:space="preserve">S odkazem na řádné posouzení úvěruschopnosti dle ZSÚ, předně pak trvalosti a stability daného příjmu, se NOVĚ porovnává hospodářský výsledek po zdanění za běžné a minulé účetní </w:t>
      </w:r>
      <w:r w:rsidR="00EC4C6E" w:rsidRPr="004669ED">
        <w:rPr>
          <w:color w:val="00B0F0"/>
          <w:sz w:val="20"/>
          <w:szCs w:val="20"/>
        </w:rPr>
        <w:t>období,</w:t>
      </w:r>
      <w:r w:rsidR="004669ED" w:rsidRPr="004669ED">
        <w:rPr>
          <w:color w:val="00B0F0"/>
          <w:sz w:val="20"/>
          <w:szCs w:val="20"/>
        </w:rPr>
        <w:t xml:space="preserve"> a to za předpokladu existence</w:t>
      </w:r>
      <w:r w:rsidR="004669ED">
        <w:rPr>
          <w:color w:val="00B0F0"/>
          <w:sz w:val="20"/>
          <w:szCs w:val="20"/>
        </w:rPr>
        <w:t xml:space="preserve"> společnosti </w:t>
      </w:r>
      <w:r w:rsidR="004669ED" w:rsidRPr="004669ED">
        <w:rPr>
          <w:color w:val="00B0F0"/>
          <w:sz w:val="20"/>
          <w:szCs w:val="20"/>
        </w:rPr>
        <w:t>v obou uzavřených účetních obdobích.</w:t>
      </w:r>
    </w:p>
    <w:p w14:paraId="2CE24E4B" w14:textId="0B608FAC" w:rsidR="00AE4B88" w:rsidRPr="00AE4B88" w:rsidRDefault="00AE4B88" w:rsidP="00AE4B88">
      <w:pPr>
        <w:pStyle w:val="Odstavecseseznamem"/>
        <w:numPr>
          <w:ilvl w:val="0"/>
          <w:numId w:val="7"/>
        </w:numPr>
        <w:tabs>
          <w:tab w:val="left" w:pos="426"/>
        </w:tabs>
        <w:spacing w:before="120" w:after="120" w:line="288" w:lineRule="auto"/>
        <w:jc w:val="both"/>
        <w:rPr>
          <w:color w:val="00B0F0"/>
          <w:sz w:val="20"/>
          <w:szCs w:val="20"/>
        </w:rPr>
      </w:pPr>
      <w:r w:rsidRPr="00AE4B88">
        <w:rPr>
          <w:color w:val="00B0F0"/>
          <w:sz w:val="20"/>
          <w:szCs w:val="20"/>
        </w:rPr>
        <w:t>Pokud</w:t>
      </w:r>
      <w:r>
        <w:rPr>
          <w:color w:val="00B0F0"/>
          <w:sz w:val="20"/>
          <w:szCs w:val="20"/>
        </w:rPr>
        <w:t xml:space="preserve"> došlo</w:t>
      </w:r>
      <w:r w:rsidRPr="00AE4B88">
        <w:rPr>
          <w:color w:val="00B0F0"/>
          <w:sz w:val="20"/>
          <w:szCs w:val="20"/>
        </w:rPr>
        <w:t xml:space="preserve"> k nárustu hospodářského výsledku oproti minulému účetnímu období </w:t>
      </w:r>
      <w:r w:rsidR="008E78CD">
        <w:rPr>
          <w:color w:val="00B0F0"/>
          <w:sz w:val="20"/>
          <w:szCs w:val="20"/>
        </w:rPr>
        <w:br/>
      </w:r>
      <w:r w:rsidRPr="00AE4B88">
        <w:rPr>
          <w:color w:val="00B0F0"/>
          <w:sz w:val="20"/>
          <w:szCs w:val="20"/>
        </w:rPr>
        <w:t xml:space="preserve">o více jak </w:t>
      </w:r>
      <w:r w:rsidR="00EC4C6E" w:rsidRPr="00AE4B88">
        <w:rPr>
          <w:color w:val="00B0F0"/>
          <w:sz w:val="20"/>
          <w:szCs w:val="20"/>
        </w:rPr>
        <w:t>20 %</w:t>
      </w:r>
      <w:r w:rsidRPr="00AE4B88">
        <w:rPr>
          <w:color w:val="00B0F0"/>
          <w:sz w:val="20"/>
          <w:szCs w:val="20"/>
        </w:rPr>
        <w:t xml:space="preserve"> a klient požaduje jeho akceptaci v max. výši, je nezbytné</w:t>
      </w:r>
      <w:r>
        <w:rPr>
          <w:color w:val="00B0F0"/>
          <w:sz w:val="20"/>
          <w:szCs w:val="20"/>
        </w:rPr>
        <w:t xml:space="preserve"> k</w:t>
      </w:r>
      <w:r w:rsidRPr="00AE4B88">
        <w:rPr>
          <w:color w:val="00B0F0"/>
          <w:sz w:val="20"/>
          <w:szCs w:val="20"/>
        </w:rPr>
        <w:t xml:space="preserve"> individuální</w:t>
      </w:r>
      <w:r>
        <w:rPr>
          <w:color w:val="00B0F0"/>
          <w:sz w:val="20"/>
          <w:szCs w:val="20"/>
        </w:rPr>
        <w:t>mu</w:t>
      </w:r>
      <w:r w:rsidRPr="00AE4B88">
        <w:rPr>
          <w:color w:val="00B0F0"/>
          <w:sz w:val="20"/>
          <w:szCs w:val="20"/>
        </w:rPr>
        <w:t xml:space="preserve"> posouzení tohoto příjmu </w:t>
      </w:r>
      <w:r>
        <w:rPr>
          <w:color w:val="00B0F0"/>
          <w:sz w:val="20"/>
          <w:szCs w:val="20"/>
        </w:rPr>
        <w:t>doložit</w:t>
      </w:r>
      <w:r w:rsidRPr="00AE4B88">
        <w:rPr>
          <w:color w:val="00B0F0"/>
          <w:sz w:val="20"/>
          <w:szCs w:val="20"/>
        </w:rPr>
        <w:t xml:space="preserve"> písemné vysvětlení klienta</w:t>
      </w:r>
      <w:r w:rsidR="00F94517">
        <w:rPr>
          <w:color w:val="00B0F0"/>
          <w:sz w:val="20"/>
          <w:szCs w:val="20"/>
        </w:rPr>
        <w:t>.</w:t>
      </w:r>
    </w:p>
    <w:p w14:paraId="00E24D9F" w14:textId="4F51ACD7" w:rsidR="00AE4B88" w:rsidRPr="00AE4B88" w:rsidRDefault="00AE4B88" w:rsidP="00AE4B88">
      <w:pPr>
        <w:pStyle w:val="Odstavecseseznamem"/>
        <w:numPr>
          <w:ilvl w:val="0"/>
          <w:numId w:val="7"/>
        </w:numPr>
        <w:tabs>
          <w:tab w:val="left" w:pos="426"/>
        </w:tabs>
        <w:spacing w:before="120" w:after="120" w:line="288" w:lineRule="auto"/>
        <w:jc w:val="both"/>
        <w:rPr>
          <w:color w:val="00B0F0"/>
          <w:sz w:val="20"/>
          <w:szCs w:val="20"/>
        </w:rPr>
      </w:pPr>
      <w:r w:rsidRPr="00AE4B88">
        <w:rPr>
          <w:color w:val="00B0F0"/>
          <w:sz w:val="20"/>
          <w:szCs w:val="20"/>
        </w:rPr>
        <w:t xml:space="preserve">Pokud dojde k nárustu hospodářského výsledku oproti minulému účetnímu období </w:t>
      </w:r>
      <w:r w:rsidR="008E78CD">
        <w:rPr>
          <w:color w:val="00B0F0"/>
          <w:sz w:val="20"/>
          <w:szCs w:val="20"/>
        </w:rPr>
        <w:br/>
      </w:r>
      <w:r w:rsidRPr="00AE4B88">
        <w:rPr>
          <w:color w:val="00B0F0"/>
          <w:sz w:val="20"/>
          <w:szCs w:val="20"/>
        </w:rPr>
        <w:t xml:space="preserve">o více jak </w:t>
      </w:r>
      <w:r w:rsidR="00EC4C6E" w:rsidRPr="00AE4B88">
        <w:rPr>
          <w:color w:val="00B0F0"/>
          <w:sz w:val="20"/>
          <w:szCs w:val="20"/>
        </w:rPr>
        <w:t>20 %</w:t>
      </w:r>
      <w:r w:rsidRPr="00AE4B88">
        <w:rPr>
          <w:color w:val="00B0F0"/>
          <w:sz w:val="20"/>
          <w:szCs w:val="20"/>
        </w:rPr>
        <w:t xml:space="preserve"> a klientovi postačuje vypočtený příjem za minulé účetní období navýšený o </w:t>
      </w:r>
      <w:r w:rsidR="00C96837" w:rsidRPr="00AE4B88">
        <w:rPr>
          <w:color w:val="00B0F0"/>
          <w:sz w:val="20"/>
          <w:szCs w:val="20"/>
        </w:rPr>
        <w:t>20 %</w:t>
      </w:r>
      <w:r w:rsidRPr="00AE4B88">
        <w:rPr>
          <w:color w:val="00B0F0"/>
          <w:sz w:val="20"/>
          <w:szCs w:val="20"/>
        </w:rPr>
        <w:t xml:space="preserve">, není nutné </w:t>
      </w:r>
      <w:r w:rsidR="00F91836">
        <w:rPr>
          <w:color w:val="00B0F0"/>
          <w:sz w:val="20"/>
          <w:szCs w:val="20"/>
        </w:rPr>
        <w:t xml:space="preserve">od klienta </w:t>
      </w:r>
      <w:r w:rsidRPr="00AE4B88">
        <w:rPr>
          <w:color w:val="00B0F0"/>
          <w:sz w:val="20"/>
          <w:szCs w:val="20"/>
        </w:rPr>
        <w:t>požadovat písemné vysvětlení</w:t>
      </w:r>
      <w:r w:rsidR="00F94517">
        <w:rPr>
          <w:color w:val="00B0F0"/>
          <w:sz w:val="20"/>
          <w:szCs w:val="20"/>
        </w:rPr>
        <w:t>.</w:t>
      </w:r>
      <w:r w:rsidRPr="00AE4B88">
        <w:rPr>
          <w:color w:val="00B0F0"/>
          <w:sz w:val="20"/>
          <w:szCs w:val="20"/>
        </w:rPr>
        <w:t xml:space="preserve"> </w:t>
      </w:r>
    </w:p>
    <w:p w14:paraId="04C86CFC" w14:textId="77777777" w:rsidR="00AE4B88" w:rsidRPr="00AE4B88" w:rsidRDefault="00AE4B88" w:rsidP="00AE4B88">
      <w:pPr>
        <w:pStyle w:val="Odstavecseseznamem"/>
        <w:numPr>
          <w:ilvl w:val="0"/>
          <w:numId w:val="7"/>
        </w:numPr>
        <w:tabs>
          <w:tab w:val="left" w:pos="426"/>
        </w:tabs>
        <w:spacing w:before="120" w:after="120" w:line="288" w:lineRule="auto"/>
        <w:jc w:val="both"/>
        <w:rPr>
          <w:color w:val="00B0F0"/>
          <w:sz w:val="20"/>
          <w:szCs w:val="20"/>
        </w:rPr>
      </w:pPr>
      <w:r w:rsidRPr="00AE4B88">
        <w:rPr>
          <w:color w:val="00B0F0"/>
          <w:sz w:val="20"/>
          <w:szCs w:val="20"/>
        </w:rPr>
        <w:t xml:space="preserve">V ostatních případech se hospodářský výsledek za minulé účetní období nezohledňuje. </w:t>
      </w:r>
    </w:p>
    <w:p w14:paraId="6C222080" w14:textId="177580DD" w:rsidR="00C236DC" w:rsidRPr="007D1CE1" w:rsidRDefault="00AE4B88" w:rsidP="00C236DC">
      <w:pPr>
        <w:rPr>
          <w:sz w:val="20"/>
          <w:szCs w:val="20"/>
        </w:rPr>
      </w:pPr>
      <w:r w:rsidRPr="00AE4B88">
        <w:rPr>
          <w:color w:val="00B0F0"/>
          <w:sz w:val="20"/>
          <w:szCs w:val="20"/>
        </w:rPr>
        <w:t xml:space="preserve">Do výpočtu úvěruschopnosti </w:t>
      </w:r>
      <w:r w:rsidR="00D05595">
        <w:rPr>
          <w:color w:val="00B0F0"/>
          <w:sz w:val="20"/>
          <w:szCs w:val="20"/>
        </w:rPr>
        <w:t xml:space="preserve">vždy </w:t>
      </w:r>
      <w:r w:rsidRPr="00AE4B88">
        <w:rPr>
          <w:color w:val="00B0F0"/>
          <w:sz w:val="20"/>
          <w:szCs w:val="20"/>
        </w:rPr>
        <w:t xml:space="preserve">vstupuje nižší z uvedených </w:t>
      </w:r>
      <w:r w:rsidR="00F94517" w:rsidRPr="00AE4B88">
        <w:rPr>
          <w:color w:val="00B0F0"/>
          <w:sz w:val="20"/>
          <w:szCs w:val="20"/>
        </w:rPr>
        <w:t>částek</w:t>
      </w:r>
      <w:r w:rsidR="00F94517">
        <w:rPr>
          <w:color w:val="00B0F0"/>
          <w:sz w:val="20"/>
          <w:szCs w:val="20"/>
        </w:rPr>
        <w:t xml:space="preserve"> – deklarace</w:t>
      </w:r>
      <w:r w:rsidRPr="00AE4B88">
        <w:rPr>
          <w:color w:val="00B0F0"/>
          <w:sz w:val="20"/>
          <w:szCs w:val="20"/>
        </w:rPr>
        <w:t xml:space="preserve"> klienta a vypočtený/akceptovaný příjem na základě předložených dokladů</w:t>
      </w:r>
      <w:bookmarkStart w:id="3" w:name="_Hlk118896035"/>
      <w:bookmarkEnd w:id="2"/>
      <w:r w:rsidR="00F94517">
        <w:rPr>
          <w:color w:val="00B0F0"/>
          <w:sz w:val="20"/>
          <w:szCs w:val="20"/>
        </w:rPr>
        <w:t>.</w:t>
      </w:r>
      <w:r w:rsidR="007D1CE1">
        <w:rPr>
          <w:sz w:val="20"/>
          <w:szCs w:val="20"/>
        </w:rPr>
        <w:br/>
      </w:r>
      <w:r w:rsidR="00C236DC" w:rsidRPr="00C236DC">
        <w:rPr>
          <w:b/>
          <w:bCs/>
          <w:sz w:val="20"/>
          <w:szCs w:val="20"/>
        </w:rPr>
        <w:br/>
        <w:t>Základní podmínky</w:t>
      </w:r>
    </w:p>
    <w:p w14:paraId="273126CB" w14:textId="77777777" w:rsidR="000F0A58" w:rsidRPr="000F0A58" w:rsidRDefault="000F0A58" w:rsidP="000F0A58">
      <w:pPr>
        <w:pStyle w:val="Odstavecseseznamem"/>
        <w:numPr>
          <w:ilvl w:val="0"/>
          <w:numId w:val="4"/>
        </w:numPr>
        <w:suppressAutoHyphens/>
        <w:spacing w:after="160" w:line="239" w:lineRule="auto"/>
        <w:rPr>
          <w:sz w:val="20"/>
          <w:szCs w:val="20"/>
        </w:rPr>
      </w:pPr>
      <w:bookmarkStart w:id="4" w:name="_Hlk119329175"/>
      <w:bookmarkStart w:id="5" w:name="_Hlk118811023"/>
      <w:bookmarkStart w:id="6" w:name="_Hlk118895278"/>
      <w:bookmarkStart w:id="7" w:name="_Hlk117586093"/>
      <w:r w:rsidRPr="000F0A58">
        <w:rPr>
          <w:sz w:val="20"/>
          <w:szCs w:val="20"/>
        </w:rPr>
        <w:t>Pokud je jeden z žadatelů vlastníkem společnosti (bez ohledu na výši majetkového podílu), ze které je dokládán příjem kteréhokoliv z žadatelů o úvěr</w:t>
      </w:r>
      <w:bookmarkEnd w:id="4"/>
      <w:r w:rsidRPr="000F0A58">
        <w:rPr>
          <w:sz w:val="20"/>
          <w:szCs w:val="20"/>
        </w:rPr>
        <w:t xml:space="preserve">, </w:t>
      </w:r>
      <w:r w:rsidRPr="00413379">
        <w:rPr>
          <w:b/>
          <w:bCs/>
          <w:sz w:val="20"/>
          <w:szCs w:val="20"/>
        </w:rPr>
        <w:t>pobočka zajistí v rámci interních nástrojů Banky kontrolu hospodaření společnosti a seznámí externího partnera s výsledkem hodnocení</w:t>
      </w:r>
      <w:r w:rsidRPr="000F0A58">
        <w:rPr>
          <w:sz w:val="20"/>
          <w:szCs w:val="20"/>
        </w:rPr>
        <w:t xml:space="preserve">. </w:t>
      </w:r>
    </w:p>
    <w:p w14:paraId="23A9F11F" w14:textId="77777777" w:rsidR="000F0A58" w:rsidRPr="000F0A58" w:rsidRDefault="000F0A58" w:rsidP="000F0A58">
      <w:pPr>
        <w:pStyle w:val="Odstavecseseznamem"/>
        <w:numPr>
          <w:ilvl w:val="0"/>
          <w:numId w:val="4"/>
        </w:numPr>
        <w:shd w:val="clear" w:color="auto" w:fill="FFFFFF" w:themeFill="background1"/>
        <w:spacing w:after="0" w:line="259" w:lineRule="auto"/>
        <w:jc w:val="both"/>
        <w:rPr>
          <w:sz w:val="20"/>
          <w:szCs w:val="20"/>
        </w:rPr>
      </w:pPr>
      <w:bookmarkStart w:id="8" w:name="_Hlk118810961"/>
      <w:r w:rsidRPr="000F0A58">
        <w:rPr>
          <w:sz w:val="20"/>
          <w:szCs w:val="20"/>
        </w:rPr>
        <w:t>V případě negativního výsledku kontroly hospodaření společnosti nebo negativního výsledku kontroly společnosti v CRÚ, není příjem akceptován a externí partner je s výsledkem hodnocení seznámen.</w:t>
      </w:r>
    </w:p>
    <w:p w14:paraId="4993EEA7" w14:textId="77777777" w:rsidR="000F0A58" w:rsidRPr="000F0A58" w:rsidRDefault="000F0A58" w:rsidP="000F0A58">
      <w:pPr>
        <w:pStyle w:val="Odstavecseseznamem"/>
        <w:numPr>
          <w:ilvl w:val="0"/>
          <w:numId w:val="4"/>
        </w:numPr>
        <w:suppressAutoHyphens/>
        <w:spacing w:after="160" w:line="239" w:lineRule="auto"/>
        <w:rPr>
          <w:sz w:val="20"/>
          <w:szCs w:val="20"/>
        </w:rPr>
      </w:pPr>
      <w:r w:rsidRPr="000F0A58">
        <w:rPr>
          <w:sz w:val="20"/>
          <w:szCs w:val="20"/>
        </w:rPr>
        <w:t>Společnost musí mít sídlo v ČR a trváme na její existenci min. 1 celé zdaňovací období (pokud neproběhla ani jedna účetní závěrka, příjem není akceptován).</w:t>
      </w:r>
    </w:p>
    <w:bookmarkEnd w:id="8"/>
    <w:p w14:paraId="4B3765F1" w14:textId="77777777" w:rsidR="000F0A58" w:rsidRPr="000F0A58" w:rsidRDefault="000F0A58" w:rsidP="000F0A58">
      <w:pPr>
        <w:pStyle w:val="Odstavecseseznamem"/>
        <w:numPr>
          <w:ilvl w:val="0"/>
          <w:numId w:val="4"/>
        </w:numPr>
        <w:suppressAutoHyphens/>
        <w:spacing w:after="160" w:line="239" w:lineRule="auto"/>
        <w:rPr>
          <w:sz w:val="20"/>
          <w:szCs w:val="20"/>
        </w:rPr>
      </w:pPr>
      <w:r w:rsidRPr="000F0A58">
        <w:rPr>
          <w:sz w:val="20"/>
          <w:szCs w:val="20"/>
        </w:rPr>
        <w:t>Souběh příjmů z jedné společnosti je akceptován, žadateli lze započítat kombinaci příjmu z hospodářského výsledku, závislé činnosti, DPČ, výkonu funkce jednatele, popř. příjmu z pronájmu nemovitosti shodné společnosti.</w:t>
      </w:r>
    </w:p>
    <w:p w14:paraId="274EB042" w14:textId="77777777" w:rsidR="000F0A58" w:rsidRPr="000F0A58" w:rsidRDefault="000F0A58" w:rsidP="000F0A58">
      <w:pPr>
        <w:pStyle w:val="Odstavecseseznamem"/>
        <w:numPr>
          <w:ilvl w:val="0"/>
          <w:numId w:val="4"/>
        </w:numPr>
        <w:suppressAutoHyphens/>
        <w:spacing w:after="160" w:line="239" w:lineRule="auto"/>
        <w:rPr>
          <w:sz w:val="20"/>
          <w:szCs w:val="20"/>
        </w:rPr>
      </w:pPr>
      <w:r w:rsidRPr="000F0A58">
        <w:rPr>
          <w:sz w:val="20"/>
          <w:szCs w:val="20"/>
        </w:rPr>
        <w:t>U žadatele, který má příjem pouze z podílů na hospodářském výsledku společnosti, musí být do výdajů uvedena minimální částka na platbu povinného zdravotního pojištění (pro rok 2022 se jedná o částku 2 336 Kč/měsíc).</w:t>
      </w:r>
    </w:p>
    <w:p w14:paraId="10CCA86D" w14:textId="77777777" w:rsidR="000F0A58" w:rsidRPr="000F0A58" w:rsidRDefault="000F0A58" w:rsidP="000F0A58">
      <w:pPr>
        <w:pStyle w:val="Odstavecseseznamem"/>
        <w:numPr>
          <w:ilvl w:val="0"/>
          <w:numId w:val="4"/>
        </w:numPr>
        <w:shd w:val="clear" w:color="auto" w:fill="FFFFFF" w:themeFill="background1"/>
        <w:spacing w:after="0" w:line="259" w:lineRule="auto"/>
        <w:jc w:val="both"/>
        <w:rPr>
          <w:sz w:val="20"/>
          <w:szCs w:val="20"/>
        </w:rPr>
      </w:pPr>
      <w:r w:rsidRPr="000F0A58">
        <w:rPr>
          <w:sz w:val="20"/>
          <w:szCs w:val="20"/>
        </w:rPr>
        <w:t>Příjem ze společnosti, která byla Bankou vyhodnocena se středním rizikem (v rámci pravidel pro korekci příjmů od vybraných zaměstnavatelů v závislosti na zjištěných negativních informacích), nesmí podíl těchto příjmů překročit 50 % z celkových příjmů na úvěru.</w:t>
      </w:r>
    </w:p>
    <w:p w14:paraId="166605E9" w14:textId="77777777" w:rsidR="000F0A58" w:rsidRPr="000F0A58" w:rsidRDefault="000F0A58" w:rsidP="000F0A58">
      <w:pPr>
        <w:pStyle w:val="Odstavecseseznamem"/>
        <w:numPr>
          <w:ilvl w:val="0"/>
          <w:numId w:val="4"/>
        </w:numPr>
        <w:shd w:val="clear" w:color="auto" w:fill="FFFFFF" w:themeFill="background1"/>
        <w:spacing w:after="0" w:line="259" w:lineRule="auto"/>
        <w:jc w:val="both"/>
        <w:rPr>
          <w:sz w:val="20"/>
          <w:szCs w:val="20"/>
        </w:rPr>
      </w:pPr>
      <w:r w:rsidRPr="000F0A58">
        <w:rPr>
          <w:sz w:val="20"/>
          <w:szCs w:val="20"/>
        </w:rPr>
        <w:t>Příjem ze společnosti, která byla Bankou vyhodnocena s vysokým rizikem, není akceptován.</w:t>
      </w:r>
    </w:p>
    <w:p w14:paraId="62FD8AD8" w14:textId="77777777" w:rsidR="000F0A58" w:rsidRPr="000F0A58" w:rsidRDefault="000F0A58" w:rsidP="000F0A58">
      <w:pPr>
        <w:pStyle w:val="Odstavecseseznamem"/>
        <w:numPr>
          <w:ilvl w:val="0"/>
          <w:numId w:val="4"/>
        </w:numPr>
        <w:suppressAutoHyphens/>
        <w:spacing w:after="160" w:line="239" w:lineRule="auto"/>
        <w:rPr>
          <w:color w:val="000000"/>
          <w:sz w:val="20"/>
          <w:szCs w:val="20"/>
        </w:rPr>
      </w:pPr>
      <w:r w:rsidRPr="000F0A58">
        <w:rPr>
          <w:color w:val="000000"/>
          <w:sz w:val="20"/>
          <w:szCs w:val="20"/>
        </w:rPr>
        <w:t>U žadatelů z rizikových zemí není tento typ příjmu akceptován, povolenou výjimku představují pouze žadatelé ze smíšených manželství, registrovaných partnerství s občany ČR (</w:t>
      </w:r>
      <w:proofErr w:type="spellStart"/>
      <w:r w:rsidRPr="000F0A58">
        <w:rPr>
          <w:color w:val="000000"/>
          <w:sz w:val="20"/>
          <w:szCs w:val="20"/>
        </w:rPr>
        <w:t>Podkap</w:t>
      </w:r>
      <w:proofErr w:type="spellEnd"/>
      <w:r w:rsidRPr="000F0A58">
        <w:rPr>
          <w:color w:val="000000"/>
          <w:sz w:val="20"/>
          <w:szCs w:val="20"/>
        </w:rPr>
        <w:t xml:space="preserve">. </w:t>
      </w:r>
      <w:hyperlink w:anchor="_Úvěrování_cizinců_z" w:history="1">
        <w:r w:rsidRPr="000F0A58">
          <w:rPr>
            <w:rStyle w:val="Hypertextovodkaz"/>
            <w:sz w:val="20"/>
            <w:szCs w:val="20"/>
          </w:rPr>
          <w:t>Úvěrování cizinců z rizikových zemí</w:t>
        </w:r>
      </w:hyperlink>
      <w:r w:rsidRPr="000F0A58">
        <w:rPr>
          <w:color w:val="000000"/>
          <w:sz w:val="20"/>
          <w:szCs w:val="20"/>
        </w:rPr>
        <w:t>).</w:t>
      </w:r>
    </w:p>
    <w:p w14:paraId="33C45A16" w14:textId="77777777" w:rsidR="000F0A58" w:rsidRPr="000F0A58" w:rsidRDefault="000F0A58" w:rsidP="000F0A58">
      <w:pPr>
        <w:pStyle w:val="Odstavecseseznamem"/>
        <w:numPr>
          <w:ilvl w:val="0"/>
          <w:numId w:val="4"/>
        </w:numPr>
        <w:suppressAutoHyphens/>
        <w:spacing w:after="160" w:line="239" w:lineRule="auto"/>
        <w:rPr>
          <w:rFonts w:eastAsia="Century Gothic" w:cs="Century Gothic"/>
          <w:color w:val="0070C0"/>
          <w:sz w:val="20"/>
          <w:szCs w:val="20"/>
        </w:rPr>
      </w:pPr>
      <w:r w:rsidRPr="000F0A58">
        <w:rPr>
          <w:sz w:val="20"/>
          <w:szCs w:val="20"/>
        </w:rPr>
        <w:t>Pokud je k celé společnosti, nebo obchodnímu podílu zřízeno zástavní právo, příjem nelze akceptovat</w:t>
      </w:r>
      <w:r w:rsidRPr="000F0A58">
        <w:rPr>
          <w:rFonts w:eastAsia="Century Gothic" w:cs="Century Gothic"/>
          <w:color w:val="0070C0"/>
          <w:sz w:val="20"/>
          <w:szCs w:val="20"/>
        </w:rPr>
        <w:t>.</w:t>
      </w:r>
    </w:p>
    <w:p w14:paraId="0B6F595E" w14:textId="7D1EF1DA" w:rsidR="00C236DC" w:rsidRPr="000F0A58" w:rsidRDefault="00C236DC" w:rsidP="00C236DC">
      <w:pPr>
        <w:pStyle w:val="Odstavecseseznamem"/>
        <w:numPr>
          <w:ilvl w:val="0"/>
          <w:numId w:val="4"/>
        </w:numPr>
        <w:spacing w:after="160" w:line="259" w:lineRule="auto"/>
        <w:rPr>
          <w:sz w:val="20"/>
          <w:szCs w:val="20"/>
        </w:rPr>
      </w:pPr>
      <w:r w:rsidRPr="000F0A58">
        <w:rPr>
          <w:sz w:val="20"/>
          <w:szCs w:val="20"/>
        </w:rPr>
        <w:t>, nebo obchodnímu podílu zřízeno zástavní právo, příjem nelze akceptovat.</w:t>
      </w:r>
    </w:p>
    <w:p w14:paraId="49C423B8" w14:textId="77777777" w:rsidR="00C236DC" w:rsidRPr="00C236DC" w:rsidRDefault="00C236DC" w:rsidP="00C236DC">
      <w:pPr>
        <w:pStyle w:val="Odstavecseseznamem"/>
        <w:rPr>
          <w:sz w:val="20"/>
          <w:szCs w:val="20"/>
        </w:rPr>
      </w:pPr>
    </w:p>
    <w:bookmarkEnd w:id="3"/>
    <w:bookmarkEnd w:id="5"/>
    <w:bookmarkEnd w:id="6"/>
    <w:p w14:paraId="049B2902" w14:textId="77777777" w:rsidR="00C236DC" w:rsidRPr="00C236DC" w:rsidRDefault="00C236DC" w:rsidP="00C236DC">
      <w:pPr>
        <w:rPr>
          <w:b/>
          <w:bCs/>
          <w:sz w:val="20"/>
          <w:szCs w:val="20"/>
          <w:lang w:eastAsia="cs-CZ"/>
        </w:rPr>
      </w:pPr>
      <w:r w:rsidRPr="00C236DC">
        <w:rPr>
          <w:b/>
          <w:bCs/>
          <w:sz w:val="20"/>
          <w:szCs w:val="20"/>
          <w:lang w:eastAsia="cs-CZ"/>
        </w:rPr>
        <w:t>Podklady požadované k doložení příjmu:</w:t>
      </w:r>
    </w:p>
    <w:p w14:paraId="3261F38E" w14:textId="77777777" w:rsidR="000F0A58" w:rsidRPr="000F0A58" w:rsidRDefault="000F0A58" w:rsidP="000F0A58">
      <w:pPr>
        <w:pStyle w:val="Odstavecseseznamem"/>
        <w:numPr>
          <w:ilvl w:val="0"/>
          <w:numId w:val="9"/>
        </w:numPr>
        <w:suppressAutoHyphens/>
        <w:spacing w:after="160" w:line="239" w:lineRule="auto"/>
        <w:rPr>
          <w:color w:val="000000"/>
          <w:sz w:val="20"/>
          <w:szCs w:val="20"/>
        </w:rPr>
      </w:pPr>
      <w:r w:rsidRPr="000F0A58">
        <w:rPr>
          <w:color w:val="000000"/>
          <w:sz w:val="20"/>
          <w:szCs w:val="20"/>
        </w:rPr>
        <w:lastRenderedPageBreak/>
        <w:t xml:space="preserve">Rozvaha v plném rozsahu* k 31.12.20xx </w:t>
      </w:r>
    </w:p>
    <w:p w14:paraId="72C96D38" w14:textId="77777777" w:rsidR="000F0A58" w:rsidRPr="000F0A58" w:rsidRDefault="000F0A58" w:rsidP="000F0A58">
      <w:pPr>
        <w:pStyle w:val="Odstavecseseznamem"/>
        <w:numPr>
          <w:ilvl w:val="0"/>
          <w:numId w:val="9"/>
        </w:numPr>
        <w:suppressAutoHyphens/>
        <w:spacing w:after="160" w:line="239" w:lineRule="auto"/>
        <w:rPr>
          <w:color w:val="000000"/>
          <w:sz w:val="20"/>
          <w:szCs w:val="20"/>
        </w:rPr>
      </w:pPr>
      <w:r w:rsidRPr="000F0A58">
        <w:rPr>
          <w:color w:val="000000"/>
          <w:sz w:val="20"/>
          <w:szCs w:val="20"/>
        </w:rPr>
        <w:t>Výkaz zisků a ztrát v plném rozsahu* k 31.12.20xx</w:t>
      </w:r>
    </w:p>
    <w:p w14:paraId="346FE6FE" w14:textId="77777777" w:rsidR="000F0A58" w:rsidRPr="000F0A58" w:rsidRDefault="000F0A58" w:rsidP="000F0A58">
      <w:pPr>
        <w:pStyle w:val="Odstavecseseznamem"/>
        <w:numPr>
          <w:ilvl w:val="0"/>
          <w:numId w:val="9"/>
        </w:numPr>
        <w:suppressAutoHyphens/>
        <w:spacing w:after="160" w:line="239" w:lineRule="auto"/>
        <w:rPr>
          <w:color w:val="000000"/>
          <w:sz w:val="20"/>
          <w:szCs w:val="20"/>
        </w:rPr>
      </w:pPr>
      <w:r w:rsidRPr="000F0A58">
        <w:rPr>
          <w:color w:val="000000"/>
          <w:sz w:val="20"/>
          <w:szCs w:val="20"/>
        </w:rPr>
        <w:t>Příloha k účetní závěrce za rok 20xx s informací o počtu zaměstnanců (jen pokud není uvedena v DAP)</w:t>
      </w:r>
    </w:p>
    <w:p w14:paraId="43FD7C9C" w14:textId="77777777" w:rsidR="000F0A58" w:rsidRPr="000F0A58" w:rsidRDefault="000F0A58" w:rsidP="000F0A58">
      <w:pPr>
        <w:pStyle w:val="Odstavecseseznamem"/>
        <w:numPr>
          <w:ilvl w:val="0"/>
          <w:numId w:val="9"/>
        </w:numPr>
        <w:suppressAutoHyphens/>
        <w:spacing w:after="160" w:line="239" w:lineRule="auto"/>
        <w:rPr>
          <w:sz w:val="20"/>
          <w:szCs w:val="20"/>
        </w:rPr>
      </w:pPr>
      <w:r w:rsidRPr="000F0A58">
        <w:rPr>
          <w:sz w:val="20"/>
          <w:szCs w:val="20"/>
        </w:rPr>
        <w:t xml:space="preserve">Přiznání k dani z příjmů právnických osob za poslední jedno ukončené zdaňovací období </w:t>
      </w:r>
    </w:p>
    <w:p w14:paraId="6EA23A72" w14:textId="77777777" w:rsidR="000F0A58" w:rsidRPr="000F0A58" w:rsidRDefault="000F0A58" w:rsidP="000F0A58">
      <w:pPr>
        <w:pStyle w:val="Odstavecseseznamem"/>
        <w:numPr>
          <w:ilvl w:val="0"/>
          <w:numId w:val="9"/>
        </w:numPr>
        <w:suppressAutoHyphens/>
        <w:spacing w:after="160" w:line="239" w:lineRule="auto"/>
        <w:rPr>
          <w:color w:val="0070C0"/>
          <w:sz w:val="20"/>
          <w:szCs w:val="20"/>
          <w:u w:val="single"/>
        </w:rPr>
      </w:pPr>
      <w:r w:rsidRPr="000F0A58">
        <w:rPr>
          <w:sz w:val="20"/>
          <w:szCs w:val="20"/>
        </w:rPr>
        <w:t>Bezdlužnost dané společnosti vůči orgánům Finanční správy ČR (akceptace bezdlužnosti dále v souladu s pravidly podle Podkapitoly</w:t>
      </w:r>
      <w:r w:rsidRPr="000F0A58">
        <w:rPr>
          <w:color w:val="0070C0"/>
          <w:sz w:val="20"/>
          <w:szCs w:val="20"/>
        </w:rPr>
        <w:t xml:space="preserve"> </w:t>
      </w:r>
      <w:hyperlink w:anchor="_HU100" w:history="1">
        <w:r w:rsidRPr="000F0A58">
          <w:rPr>
            <w:rStyle w:val="Hypertextovodkaz"/>
            <w:sz w:val="20"/>
            <w:szCs w:val="20"/>
          </w:rPr>
          <w:t>Bezdlužnost vůči orgánům Finanční správy ČR)</w:t>
        </w:r>
      </w:hyperlink>
    </w:p>
    <w:p w14:paraId="5A3E261A" w14:textId="0C2E8E20" w:rsidR="000F0A58" w:rsidRPr="000F0A58" w:rsidRDefault="00C236DC" w:rsidP="000F0A58">
      <w:pPr>
        <w:ind w:left="360"/>
        <w:rPr>
          <w:i/>
          <w:iCs/>
          <w:sz w:val="20"/>
          <w:szCs w:val="20"/>
          <w:lang w:eastAsia="cs-CZ"/>
        </w:rPr>
      </w:pPr>
      <w:r w:rsidRPr="00C236DC">
        <w:rPr>
          <w:i/>
          <w:iCs/>
          <w:sz w:val="20"/>
          <w:szCs w:val="20"/>
          <w:lang w:eastAsia="cs-CZ"/>
        </w:rPr>
        <w:t>*plný rozsah – povinnost uvedení poslední 2 období, pokud spol. v obou letech existuje (zdaňovací období se nemusí rovnat kalendářnímu roku)</w:t>
      </w:r>
      <w:r w:rsidRPr="00361B42">
        <w:rPr>
          <w:b/>
          <w:bCs/>
        </w:rPr>
        <w:br/>
      </w:r>
      <w:bookmarkEnd w:id="7"/>
      <w:r w:rsidR="00CD15A9">
        <w:rPr>
          <w:i/>
          <w:iCs/>
          <w:sz w:val="20"/>
          <w:szCs w:val="20"/>
          <w:lang w:eastAsia="cs-CZ"/>
        </w:rPr>
        <w:br/>
      </w:r>
    </w:p>
    <w:p w14:paraId="43582EF4" w14:textId="77777777" w:rsidR="00F91836" w:rsidRPr="00F91836" w:rsidRDefault="00F91836" w:rsidP="000F0A58"/>
    <w:sectPr w:rsidR="00F91836" w:rsidRPr="00F91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7484"/>
    <w:multiLevelType w:val="hybridMultilevel"/>
    <w:tmpl w:val="0B8C5E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471E"/>
    <w:multiLevelType w:val="multilevel"/>
    <w:tmpl w:val="4BDCAD50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6"/>
      <w:numFmt w:val="decimal"/>
      <w:pStyle w:val="Podnadpis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C67CEE"/>
    <w:multiLevelType w:val="hybridMultilevel"/>
    <w:tmpl w:val="9F868668"/>
    <w:lvl w:ilvl="0" w:tplc="FE5A84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7B69"/>
    <w:multiLevelType w:val="hybridMultilevel"/>
    <w:tmpl w:val="4282F3FA"/>
    <w:lvl w:ilvl="0" w:tplc="45983DE4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auto"/>
        <w:sz w:val="20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B55FA"/>
    <w:multiLevelType w:val="multilevel"/>
    <w:tmpl w:val="54DE3BFE"/>
    <w:lvl w:ilvl="0">
      <w:start w:val="4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F0D3DDF"/>
    <w:multiLevelType w:val="hybridMultilevel"/>
    <w:tmpl w:val="B2C0F4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A0252"/>
    <w:multiLevelType w:val="hybridMultilevel"/>
    <w:tmpl w:val="74C4F96C"/>
    <w:lvl w:ilvl="0" w:tplc="37169F3A">
      <w:start w:val="1"/>
      <w:numFmt w:val="none"/>
      <w:lvlText w:val="-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A1142"/>
    <w:multiLevelType w:val="multilevel"/>
    <w:tmpl w:val="78607568"/>
    <w:lvl w:ilvl="0">
      <w:start w:val="1"/>
      <w:numFmt w:val="decimal"/>
      <w:pStyle w:val="Nadpis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D361B1C"/>
    <w:multiLevelType w:val="hybridMultilevel"/>
    <w:tmpl w:val="9F8A05A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38094">
    <w:abstractNumId w:val="5"/>
  </w:num>
  <w:num w:numId="2" w16cid:durableId="236208485">
    <w:abstractNumId w:val="7"/>
  </w:num>
  <w:num w:numId="3" w16cid:durableId="142547374">
    <w:abstractNumId w:val="8"/>
  </w:num>
  <w:num w:numId="4" w16cid:durableId="1371493196">
    <w:abstractNumId w:val="0"/>
  </w:num>
  <w:num w:numId="5" w16cid:durableId="1232616766">
    <w:abstractNumId w:val="1"/>
  </w:num>
  <w:num w:numId="6" w16cid:durableId="1039815670">
    <w:abstractNumId w:val="6"/>
  </w:num>
  <w:num w:numId="7" w16cid:durableId="1513295363">
    <w:abstractNumId w:val="2"/>
  </w:num>
  <w:num w:numId="8" w16cid:durableId="1957633698">
    <w:abstractNumId w:val="4"/>
  </w:num>
  <w:num w:numId="9" w16cid:durableId="38950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56"/>
    <w:rsid w:val="00067776"/>
    <w:rsid w:val="000F0A58"/>
    <w:rsid w:val="001D1391"/>
    <w:rsid w:val="001E40CC"/>
    <w:rsid w:val="00253777"/>
    <w:rsid w:val="002C5FCC"/>
    <w:rsid w:val="003110F6"/>
    <w:rsid w:val="00381035"/>
    <w:rsid w:val="00393456"/>
    <w:rsid w:val="003E3051"/>
    <w:rsid w:val="003E79EB"/>
    <w:rsid w:val="003F5544"/>
    <w:rsid w:val="00403B88"/>
    <w:rsid w:val="00413379"/>
    <w:rsid w:val="0046501F"/>
    <w:rsid w:val="004669ED"/>
    <w:rsid w:val="004C6F22"/>
    <w:rsid w:val="0052518B"/>
    <w:rsid w:val="005A3E35"/>
    <w:rsid w:val="007D1CE1"/>
    <w:rsid w:val="00831820"/>
    <w:rsid w:val="008E78CD"/>
    <w:rsid w:val="00947105"/>
    <w:rsid w:val="009C75D0"/>
    <w:rsid w:val="00AE4B88"/>
    <w:rsid w:val="00B25CD0"/>
    <w:rsid w:val="00B41809"/>
    <w:rsid w:val="00BA74AB"/>
    <w:rsid w:val="00C20073"/>
    <w:rsid w:val="00C236DC"/>
    <w:rsid w:val="00C410F6"/>
    <w:rsid w:val="00C96837"/>
    <w:rsid w:val="00CB7B62"/>
    <w:rsid w:val="00CD15A9"/>
    <w:rsid w:val="00D05595"/>
    <w:rsid w:val="00E34D79"/>
    <w:rsid w:val="00E6084E"/>
    <w:rsid w:val="00EC4C6E"/>
    <w:rsid w:val="00F91836"/>
    <w:rsid w:val="00F94517"/>
    <w:rsid w:val="00FC5F00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CA0A"/>
  <w15:chartTrackingRefBased/>
  <w15:docId w15:val="{C4B37C24-943F-43B9-9816-4A1CA272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5544"/>
    <w:pPr>
      <w:spacing w:after="200" w:line="276" w:lineRule="auto"/>
    </w:pPr>
    <w:rPr>
      <w:rFonts w:ascii="Century Gothic" w:hAnsi="Century Gothic"/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393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aliases w:val="Nadpis kapitol"/>
    <w:basedOn w:val="Normln"/>
    <w:next w:val="Normln"/>
    <w:link w:val="Nadpis2Char"/>
    <w:unhideWhenUsed/>
    <w:qFormat/>
    <w:rsid w:val="00C236DC"/>
    <w:pPr>
      <w:keepNext/>
      <w:keepLines/>
      <w:numPr>
        <w:numId w:val="2"/>
      </w:numPr>
      <w:spacing w:before="60" w:after="0" w:line="259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Nadpis3">
    <w:name w:val="heading 3"/>
    <w:basedOn w:val="Podnadpis"/>
    <w:next w:val="Normln"/>
    <w:link w:val="Nadpis3Char"/>
    <w:uiPriority w:val="9"/>
    <w:unhideWhenUsed/>
    <w:rsid w:val="00C236DC"/>
    <w:pPr>
      <w:numPr>
        <w:ilvl w:val="2"/>
        <w:numId w:val="2"/>
      </w:numPr>
      <w:outlineLvl w:val="2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3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1">
    <w:name w:val="Styl1"/>
    <w:basedOn w:val="Normln"/>
    <w:link w:val="Styl1Char"/>
    <w:qFormat/>
    <w:rsid w:val="003E79EB"/>
    <w:pPr>
      <w:shd w:val="clear" w:color="auto" w:fill="00B0F0"/>
      <w:jc w:val="center"/>
    </w:pPr>
    <w:rPr>
      <w:b/>
      <w:caps/>
      <w:color w:val="FFFFFF" w:themeColor="background1"/>
      <w:sz w:val="24"/>
    </w:rPr>
  </w:style>
  <w:style w:type="character" w:customStyle="1" w:styleId="Styl1Char">
    <w:name w:val="Styl1 Char"/>
    <w:basedOn w:val="Nadpis1Char"/>
    <w:link w:val="Styl1"/>
    <w:rsid w:val="003E79EB"/>
    <w:rPr>
      <w:rFonts w:ascii="Century Gothic" w:eastAsiaTheme="majorEastAsia" w:hAnsi="Century Gothic" w:cstheme="majorBidi"/>
      <w:b/>
      <w:caps/>
      <w:color w:val="FFFFFF" w:themeColor="background1"/>
      <w:kern w:val="0"/>
      <w:sz w:val="24"/>
      <w:szCs w:val="32"/>
      <w:shd w:val="clear" w:color="auto" w:fill="00B0F0"/>
      <w14:ligatures w14:val="none"/>
    </w:rPr>
  </w:style>
  <w:style w:type="paragraph" w:styleId="Bezmezer">
    <w:name w:val="No Spacing"/>
    <w:aliases w:val="Bez mezer- FAQ,normální - odrážka"/>
    <w:link w:val="BezmezerChar"/>
    <w:uiPriority w:val="1"/>
    <w:qFormat/>
    <w:rsid w:val="00067776"/>
    <w:pPr>
      <w:spacing w:after="200" w:line="276" w:lineRule="auto"/>
    </w:pPr>
    <w:rPr>
      <w:rFonts w:ascii="Century Gothic" w:hAnsi="Century Gothic"/>
      <w:kern w:val="0"/>
      <w14:ligatures w14:val="none"/>
    </w:rPr>
  </w:style>
  <w:style w:type="paragraph" w:customStyle="1" w:styleId="Zmny">
    <w:name w:val="Změny"/>
    <w:next w:val="Bezmezer"/>
    <w:link w:val="ZmnyChar"/>
    <w:qFormat/>
    <w:rsid w:val="003F5544"/>
    <w:pPr>
      <w:spacing w:after="0" w:line="240" w:lineRule="auto"/>
    </w:pPr>
    <w:rPr>
      <w:rFonts w:ascii="Century Gothic" w:hAnsi="Century Gothic"/>
      <w:b/>
      <w:kern w:val="0"/>
      <w:sz w:val="24"/>
      <w14:ligatures w14:val="none"/>
    </w:rPr>
  </w:style>
  <w:style w:type="character" w:customStyle="1" w:styleId="BezmezerChar">
    <w:name w:val="Bez mezer Char"/>
    <w:aliases w:val="Bez mezer- FAQ Char,normální - odrážka Char"/>
    <w:basedOn w:val="Standardnpsmoodstavce"/>
    <w:link w:val="Bezmezer"/>
    <w:uiPriority w:val="1"/>
    <w:rsid w:val="00253777"/>
    <w:rPr>
      <w:rFonts w:ascii="Century Gothic" w:hAnsi="Century Gothic"/>
      <w:kern w:val="0"/>
      <w14:ligatures w14:val="none"/>
    </w:rPr>
  </w:style>
  <w:style w:type="character" w:customStyle="1" w:styleId="ZmnyChar">
    <w:name w:val="Změny Char"/>
    <w:basedOn w:val="BezmezerChar"/>
    <w:link w:val="Zmny"/>
    <w:rsid w:val="003F5544"/>
    <w:rPr>
      <w:rFonts w:ascii="Century Gothic" w:hAnsi="Century Gothic"/>
      <w:b/>
      <w:kern w:val="0"/>
      <w:sz w:val="24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4C6F22"/>
    <w:rPr>
      <w:color w:val="0000FF"/>
      <w:u w:val="single"/>
    </w:rPr>
  </w:style>
  <w:style w:type="paragraph" w:styleId="Odstavecseseznamem">
    <w:name w:val="List Paragraph"/>
    <w:aliases w:val="Heading Bullet,Tabellen"/>
    <w:basedOn w:val="Normln"/>
    <w:link w:val="OdstavecseseznamemChar"/>
    <w:uiPriority w:val="34"/>
    <w:qFormat/>
    <w:rsid w:val="004C6F22"/>
    <w:pPr>
      <w:ind w:left="720"/>
      <w:contextualSpacing/>
    </w:pPr>
  </w:style>
  <w:style w:type="character" w:customStyle="1" w:styleId="Nadpis2Char">
    <w:name w:val="Nadpis 2 Char"/>
    <w:aliases w:val="Nadpis kapitol Char"/>
    <w:basedOn w:val="Standardnpsmoodstavce"/>
    <w:link w:val="Nadpis2"/>
    <w:rsid w:val="00C236DC"/>
    <w:rPr>
      <w:rFonts w:ascii="Arial" w:eastAsiaTheme="majorEastAsia" w:hAnsi="Arial" w:cstheme="majorBidi"/>
      <w:b/>
      <w:color w:val="000000" w:themeColor="text1"/>
      <w:kern w:val="0"/>
      <w:sz w:val="24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C236DC"/>
    <w:rPr>
      <w:rFonts w:ascii="Arial" w:eastAsiaTheme="minorEastAsia" w:hAnsi="Arial" w:cs="Arial"/>
      <w:b/>
      <w:color w:val="000000" w:themeColor="text1"/>
      <w:spacing w:val="15"/>
      <w:kern w:val="0"/>
      <w:sz w:val="20"/>
      <w:szCs w:val="20"/>
      <w14:ligatures w14:val="none"/>
    </w:rPr>
  </w:style>
  <w:style w:type="paragraph" w:styleId="Podnadpis">
    <w:name w:val="Subtitle"/>
    <w:aliases w:val="Podnadpis kapitol"/>
    <w:basedOn w:val="Normln"/>
    <w:next w:val="Normln"/>
    <w:link w:val="PodnadpisChar"/>
    <w:autoRedefine/>
    <w:uiPriority w:val="11"/>
    <w:qFormat/>
    <w:rsid w:val="00C236DC"/>
    <w:pPr>
      <w:numPr>
        <w:ilvl w:val="1"/>
        <w:numId w:val="5"/>
      </w:numPr>
      <w:spacing w:before="60" w:after="0" w:line="259" w:lineRule="auto"/>
    </w:pPr>
    <w:rPr>
      <w:rFonts w:eastAsiaTheme="minorEastAsia" w:cs="Arial"/>
      <w:b/>
      <w:color w:val="000000" w:themeColor="text1"/>
      <w:spacing w:val="15"/>
    </w:rPr>
  </w:style>
  <w:style w:type="character" w:customStyle="1" w:styleId="PodnadpisChar">
    <w:name w:val="Podnadpis Char"/>
    <w:aliases w:val="Podnadpis kapitol Char"/>
    <w:basedOn w:val="Standardnpsmoodstavce"/>
    <w:link w:val="Podnadpis"/>
    <w:uiPriority w:val="11"/>
    <w:rsid w:val="00C236DC"/>
    <w:rPr>
      <w:rFonts w:ascii="Century Gothic" w:eastAsiaTheme="minorEastAsia" w:hAnsi="Century Gothic" w:cs="Arial"/>
      <w:b/>
      <w:color w:val="000000" w:themeColor="text1"/>
      <w:spacing w:val="15"/>
      <w:kern w:val="0"/>
      <w14:ligatures w14:val="none"/>
    </w:rPr>
  </w:style>
  <w:style w:type="character" w:customStyle="1" w:styleId="OdstavecseseznamemChar">
    <w:name w:val="Odstavec se seznamem Char"/>
    <w:aliases w:val="Heading Bullet Char,Tabellen Char"/>
    <w:link w:val="Odstavecseseznamem"/>
    <w:uiPriority w:val="34"/>
    <w:locked/>
    <w:rsid w:val="00C236DC"/>
    <w:rPr>
      <w:rFonts w:ascii="Century Gothic" w:hAnsi="Century Gothic"/>
      <w:kern w:val="0"/>
      <w14:ligatures w14:val="none"/>
    </w:rPr>
  </w:style>
  <w:style w:type="character" w:styleId="Nevyeenzmnka">
    <w:name w:val="Unresolved Mention"/>
    <w:basedOn w:val="Standardnpsmoodstavce"/>
    <w:uiPriority w:val="99"/>
    <w:semiHidden/>
    <w:unhideWhenUsed/>
    <w:rsid w:val="00403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Props1.xml><?xml version="1.0" encoding="utf-8"?>
<ds:datastoreItem xmlns:ds="http://schemas.openxmlformats.org/officeDocument/2006/customXml" ds:itemID="{889400B1-8028-48E7-BB60-0BE25A06F694}"/>
</file>

<file path=customXml/itemProps2.xml><?xml version="1.0" encoding="utf-8"?>
<ds:datastoreItem xmlns:ds="http://schemas.openxmlformats.org/officeDocument/2006/customXml" ds:itemID="{4FE46D6D-9546-4679-B90B-D894E46EF079}"/>
</file>

<file path=customXml/itemProps3.xml><?xml version="1.0" encoding="utf-8"?>
<ds:datastoreItem xmlns:ds="http://schemas.openxmlformats.org/officeDocument/2006/customXml" ds:itemID="{69579BF4-264B-481F-AE1F-F78529F6F4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4519</Characters>
  <Application>Microsoft Office Word</Application>
  <DocSecurity>0</DocSecurity>
  <Lines>101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DOLEŽELOVÁ Jana</dc:creator>
  <cp:keywords/>
  <dc:description/>
  <cp:lastModifiedBy>PEŠATOVÁ Lenka</cp:lastModifiedBy>
  <cp:revision>2</cp:revision>
  <dcterms:created xsi:type="dcterms:W3CDTF">2024-06-13T10:02:00Z</dcterms:created>
  <dcterms:modified xsi:type="dcterms:W3CDTF">2024-06-13T10:02:00Z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faec90-cc5a-4f20-9584-a1c4096f3391_Enabled">
    <vt:lpwstr>true</vt:lpwstr>
  </property>
  <property fmtid="{D5CDD505-2E9C-101B-9397-08002B2CF9AE}" pid="3" name="MSIP_Label_03faec90-cc5a-4f20-9584-a1c4096f3391_SetDate">
    <vt:lpwstr>2024-03-12T09:33:46Z</vt:lpwstr>
  </property>
  <property fmtid="{D5CDD505-2E9C-101B-9397-08002B2CF9AE}" pid="4" name="MSIP_Label_03faec90-cc5a-4f20-9584-a1c4096f3391_Method">
    <vt:lpwstr>Privileged</vt:lpwstr>
  </property>
  <property fmtid="{D5CDD505-2E9C-101B-9397-08002B2CF9AE}" pid="5" name="MSIP_Label_03faec90-cc5a-4f20-9584-a1c4096f3391_Name">
    <vt:lpwstr>03faec90-cc5a-4f20-9584-a1c4096f3391</vt:lpwstr>
  </property>
  <property fmtid="{D5CDD505-2E9C-101B-9397-08002B2CF9AE}" pid="6" name="MSIP_Label_03faec90-cc5a-4f20-9584-a1c4096f3391_SiteId">
    <vt:lpwstr>64af2aee-7d6c-49ac-a409-192d3fee73b8</vt:lpwstr>
  </property>
  <property fmtid="{D5CDD505-2E9C-101B-9397-08002B2CF9AE}" pid="7" name="MSIP_Label_03faec90-cc5a-4f20-9584-a1c4096f3391_ActionId">
    <vt:lpwstr>957d66cc-849c-4d28-a186-3cc31184d1d3</vt:lpwstr>
  </property>
  <property fmtid="{D5CDD505-2E9C-101B-9397-08002B2CF9AE}" pid="8" name="MSIP_Label_03faec90-cc5a-4f20-9584-a1c4096f3391_ContentBits">
    <vt:lpwstr>0</vt:lpwstr>
  </property>
  <property fmtid="{D5CDD505-2E9C-101B-9397-08002B2CF9AE}" pid="9" name="HB-DocumentTagging.ClassificationMark.P00">
    <vt:lpwstr>&lt;ClassificationMark xmlns:xsi="http://www.w3.org/2001/XMLSchema-instance" xmlns:xsd="http://www.w3.org/2001/XMLSchema" margin="NaN" class="C1" owner="DOLEŽELOVÁ Jana" position="TopRight" marginX="0" marginY="0" classifiedOn="2024-06-13T12:02:21.95573</vt:lpwstr>
  </property>
  <property fmtid="{D5CDD505-2E9C-101B-9397-08002B2CF9AE}" pid="10" name="HB-DocumentTagging.ClassificationMark.P01">
    <vt:lpwstr>39+02:00" showPrintedBy="false" showPrintDate="false" language="cs" ApplicationVersion="Microsoft Word, 16.0" addinVersion="5.10.4.12" template="HB"&gt;&lt;history bulk="false" class="Interní" code="C1" user="Pešatová Lenka" date="2024-06-13T12:02:22.03434</vt:lpwstr>
  </property>
  <property fmtid="{D5CDD505-2E9C-101B-9397-08002B2CF9AE}" pid="11" name="HB-DocumentTagging.ClassificationMark.P02">
    <vt:lpwstr>22+02:00" /&gt;&lt;recipients /&gt;&lt;documentOwners /&gt;&lt;/ClassificationMark&gt;</vt:lpwstr>
  </property>
  <property fmtid="{D5CDD505-2E9C-101B-9397-08002B2CF9AE}" pid="12" name="HB-DocumentTagging.ClassificationMark">
    <vt:lpwstr>￼PARTS:3</vt:lpwstr>
  </property>
  <property fmtid="{D5CDD505-2E9C-101B-9397-08002B2CF9AE}" pid="13" name="HB-DocumentClasification">
    <vt:lpwstr>Interní</vt:lpwstr>
  </property>
  <property fmtid="{D5CDD505-2E9C-101B-9397-08002B2CF9AE}" pid="14" name="HB-DLP">
    <vt:lpwstr>HB-DLP:TAGInternal</vt:lpwstr>
  </property>
  <property fmtid="{D5CDD505-2E9C-101B-9397-08002B2CF9AE}" pid="15" name="ContentTypeId">
    <vt:lpwstr>0x0101009D84FBECE65EAA4DB77ADDEB10348A33</vt:lpwstr>
  </property>
</Properties>
</file>