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5988" w14:textId="77777777" w:rsidR="004273D3" w:rsidRPr="00040D0D" w:rsidRDefault="00A8366D" w:rsidP="004273D3">
      <w:pPr>
        <w:spacing w:after="0"/>
        <w:jc w:val="both"/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</w:pPr>
      <w:r w:rsidRPr="00040D0D"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 xml:space="preserve">Přehled procesních </w:t>
      </w:r>
      <w:r w:rsidR="00761744" w:rsidRPr="00040D0D"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 xml:space="preserve">a aplikačních </w:t>
      </w:r>
      <w:r w:rsidR="00040D0D" w:rsidRPr="00040D0D">
        <w:rPr>
          <w:rFonts w:ascii="Century Gothic" w:hAnsi="Century Gothic" w:cs="Century Gothic"/>
          <w:b/>
          <w:bCs/>
          <w:position w:val="-1"/>
          <w:sz w:val="44"/>
          <w:szCs w:val="44"/>
          <w:u w:val="single"/>
        </w:rPr>
        <w:t>změn</w:t>
      </w:r>
    </w:p>
    <w:p w14:paraId="355070C7" w14:textId="77777777" w:rsidR="008520C8" w:rsidRDefault="008520C8" w:rsidP="004273D3">
      <w:pPr>
        <w:spacing w:after="0"/>
        <w:jc w:val="both"/>
        <w:rPr>
          <w:rFonts w:ascii="Century Gothic" w:hAnsi="Century Gothic" w:cs="Century Gothic"/>
          <w:b/>
          <w:bCs/>
          <w:position w:val="-1"/>
          <w:sz w:val="32"/>
          <w:szCs w:val="32"/>
        </w:rPr>
      </w:pPr>
    </w:p>
    <w:p w14:paraId="6A0348E0" w14:textId="4F155758" w:rsidR="00184D35" w:rsidRPr="004273D3" w:rsidRDefault="007726F2" w:rsidP="00286E30">
      <w:pPr>
        <w:jc w:val="both"/>
        <w:rPr>
          <w:rFonts w:ascii="Century Gothic" w:hAnsi="Century Gothic"/>
          <w:b/>
          <w:color w:val="FFFFFF" w:themeColor="background1"/>
          <w:u w:val="single"/>
        </w:rPr>
      </w:pPr>
      <w:r>
        <w:rPr>
          <w:b/>
          <w:sz w:val="28"/>
          <w:szCs w:val="28"/>
        </w:rPr>
        <w:t>Účinnost:</w:t>
      </w:r>
      <w:r w:rsidR="00B215B9">
        <w:rPr>
          <w:b/>
          <w:sz w:val="28"/>
          <w:szCs w:val="28"/>
        </w:rPr>
        <w:t xml:space="preserve"> </w:t>
      </w:r>
      <w:r w:rsidR="00AA3248">
        <w:rPr>
          <w:b/>
          <w:sz w:val="28"/>
          <w:szCs w:val="28"/>
        </w:rPr>
        <w:t>24.6.2024</w:t>
      </w:r>
    </w:p>
    <w:p w14:paraId="702A7675" w14:textId="77777777" w:rsidR="00467203" w:rsidRDefault="00467203" w:rsidP="00467203">
      <w:pPr>
        <w:spacing w:after="0"/>
        <w:jc w:val="both"/>
      </w:pPr>
      <w:bookmarkStart w:id="0" w:name="_Hlk169010171"/>
    </w:p>
    <w:p w14:paraId="280F54E1" w14:textId="77777777" w:rsidR="00467203" w:rsidRPr="00BF6BE1" w:rsidRDefault="00467203" w:rsidP="00467203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>Kukátko do Hypoteční z</w:t>
      </w:r>
      <w:r w:rsidRPr="003F31DC">
        <w:rPr>
          <w:rFonts w:ascii="Century Gothic" w:hAnsi="Century Gothic"/>
          <w:b/>
          <w:color w:val="FFFFFF" w:themeColor="background1"/>
        </w:rPr>
        <w:t>ó</w:t>
      </w:r>
      <w:r>
        <w:rPr>
          <w:rFonts w:ascii="Century Gothic" w:hAnsi="Century Gothic"/>
          <w:b/>
          <w:color w:val="FFFFFF" w:themeColor="background1"/>
        </w:rPr>
        <w:t>ny pro externí obchodníky</w:t>
      </w:r>
    </w:p>
    <w:p w14:paraId="46F5BCD7" w14:textId="77777777" w:rsidR="00B9301A" w:rsidRPr="00B14E5D" w:rsidRDefault="00B9301A" w:rsidP="00B9301A">
      <w:pPr>
        <w:jc w:val="both"/>
        <w:rPr>
          <w:rFonts w:cstheme="minorHAnsi"/>
        </w:rPr>
      </w:pPr>
      <w:r w:rsidRPr="00B14E5D">
        <w:rPr>
          <w:rFonts w:cstheme="minorHAnsi"/>
        </w:rPr>
        <w:t xml:space="preserve">Od 24.6.2024 Vám umožníme </w:t>
      </w:r>
      <w:r w:rsidRPr="00B14E5D">
        <w:rPr>
          <w:rFonts w:cstheme="minorHAnsi"/>
          <w:b/>
          <w:bCs/>
        </w:rPr>
        <w:t>pasivní náhled do Hypoteční zóny</w:t>
      </w:r>
      <w:r w:rsidRPr="00B14E5D">
        <w:rPr>
          <w:rFonts w:cstheme="minorHAnsi"/>
        </w:rPr>
        <w:t xml:space="preserve"> (tzv. "kukátko"), abyste mohli svým klientům efektivně pomoci např. s </w:t>
      </w:r>
      <w:r w:rsidRPr="00B14E5D">
        <w:rPr>
          <w:rFonts w:cstheme="minorHAnsi"/>
          <w:b/>
          <w:bCs/>
        </w:rPr>
        <w:t>elektronickým podpisem smlouvy nebo čerpáním</w:t>
      </w:r>
      <w:r w:rsidRPr="00B14E5D">
        <w:rPr>
          <w:rFonts w:cstheme="minorHAnsi"/>
        </w:rPr>
        <w:t xml:space="preserve"> (třeba na dálku po telefonu).</w:t>
      </w:r>
    </w:p>
    <w:p w14:paraId="120C5C01" w14:textId="77777777" w:rsidR="00B9301A" w:rsidRPr="00B14E5D" w:rsidRDefault="00B9301A" w:rsidP="00B9301A">
      <w:pPr>
        <w:jc w:val="both"/>
        <w:rPr>
          <w:rFonts w:cstheme="minorHAnsi"/>
        </w:rPr>
      </w:pPr>
      <w:r w:rsidRPr="00B14E5D">
        <w:rPr>
          <w:rFonts w:cstheme="minorHAnsi"/>
        </w:rPr>
        <w:t xml:space="preserve">Náhled bude spouštěn z Informatoria a klient jej </w:t>
      </w:r>
      <w:r w:rsidRPr="00B14E5D">
        <w:rPr>
          <w:rFonts w:cstheme="minorHAnsi"/>
          <w:b/>
          <w:bCs/>
        </w:rPr>
        <w:t>bude muset povolit ve své Hypoteční zóně (pouze na poprvé)</w:t>
      </w:r>
      <w:r w:rsidRPr="00B14E5D">
        <w:rPr>
          <w:rFonts w:cstheme="minorHAnsi"/>
        </w:rPr>
        <w:t>. Kukátko bude k</w:t>
      </w:r>
      <w:r w:rsidRPr="00B14E5D">
        <w:rPr>
          <w:rFonts w:cstheme="minorHAnsi"/>
          <w:color w:val="002142"/>
        </w:rPr>
        <w:t> </w:t>
      </w:r>
      <w:r w:rsidRPr="00B14E5D">
        <w:rPr>
          <w:rFonts w:cstheme="minorHAnsi"/>
        </w:rPr>
        <w:t>dispozici</w:t>
      </w:r>
      <w:r w:rsidRPr="00B14E5D">
        <w:rPr>
          <w:rFonts w:cstheme="minorHAnsi"/>
          <w:color w:val="002142"/>
        </w:rPr>
        <w:t xml:space="preserve"> </w:t>
      </w:r>
      <w:bookmarkStart w:id="1" w:name="_Hlk168310375"/>
      <w:r w:rsidRPr="00B14E5D">
        <w:rPr>
          <w:rFonts w:cstheme="minorHAnsi"/>
        </w:rPr>
        <w:t xml:space="preserve">od okamžiku schválení hypotéky </w:t>
      </w:r>
      <w:bookmarkEnd w:id="1"/>
      <w:r w:rsidRPr="00B14E5D">
        <w:rPr>
          <w:rFonts w:cstheme="minorHAnsi"/>
        </w:rPr>
        <w:t>do ukončení jejího čerpání nebo do odvolání souhlasu klientem.</w:t>
      </w:r>
    </w:p>
    <w:p w14:paraId="45C26562" w14:textId="77777777" w:rsidR="00B9301A" w:rsidRPr="00B14E5D" w:rsidRDefault="00B9301A" w:rsidP="00B9301A">
      <w:pPr>
        <w:jc w:val="both"/>
        <w:rPr>
          <w:rFonts w:cstheme="minorHAnsi"/>
        </w:rPr>
      </w:pPr>
      <w:r w:rsidRPr="00B14E5D">
        <w:rPr>
          <w:rFonts w:cstheme="minorHAnsi"/>
        </w:rPr>
        <w:t>Přes kukátko uvidíte klientovu Hypoteční zónu přesně tak, jak ji vidí sám klient, nebudete však moci provést za klienta žádnou aktivní operaci.</w:t>
      </w:r>
    </w:p>
    <w:p w14:paraId="2E7BE02D" w14:textId="77777777" w:rsidR="00B9301A" w:rsidRPr="00B14E5D" w:rsidRDefault="00B9301A" w:rsidP="00B9301A">
      <w:pPr>
        <w:jc w:val="both"/>
        <w:rPr>
          <w:rFonts w:cstheme="minorHAnsi"/>
        </w:rPr>
      </w:pPr>
      <w:r w:rsidRPr="00B14E5D">
        <w:rPr>
          <w:rFonts w:cstheme="minorHAnsi"/>
        </w:rPr>
        <w:t>Možnost náhledu bude pro Vás dostupná jen u hypoték, u kterých jste evidováni jako zpracovatel.</w:t>
      </w:r>
    </w:p>
    <w:p w14:paraId="216A5FE1" w14:textId="577B3571" w:rsidR="00467203" w:rsidRDefault="00B9301A" w:rsidP="00754D40">
      <w:pPr>
        <w:pStyle w:val="Bezmezer"/>
      </w:pPr>
      <w:r w:rsidRPr="00F205CA">
        <w:t>Postup pro práci s kukátkem naleznete na Informatoriu</w:t>
      </w:r>
      <w:r w:rsidR="00042BF5" w:rsidRPr="00F205CA">
        <w:t>.</w:t>
      </w:r>
    </w:p>
    <w:p w14:paraId="10AF4483" w14:textId="77777777" w:rsidR="00754D40" w:rsidRDefault="00754D40" w:rsidP="00754D40">
      <w:pPr>
        <w:pStyle w:val="Bezmezer"/>
      </w:pPr>
    </w:p>
    <w:bookmarkEnd w:id="0"/>
    <w:p w14:paraId="08ECED2B" w14:textId="77777777" w:rsidR="00467203" w:rsidRPr="00BF6BE1" w:rsidRDefault="00467203" w:rsidP="00467203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 w:rsidRPr="00B86F5B">
        <w:rPr>
          <w:rFonts w:ascii="Century Gothic" w:hAnsi="Century Gothic"/>
          <w:b/>
          <w:color w:val="FFFFFF" w:themeColor="background1"/>
        </w:rPr>
        <w:t>Š</w:t>
      </w:r>
      <w:r>
        <w:rPr>
          <w:rFonts w:ascii="Century Gothic" w:hAnsi="Century Gothic"/>
          <w:b/>
          <w:color w:val="FFFFFF" w:themeColor="background1"/>
        </w:rPr>
        <w:t>ifrování příloh e-mailů pro klienty</w:t>
      </w:r>
    </w:p>
    <w:p w14:paraId="04534778" w14:textId="77777777" w:rsidR="00467203" w:rsidRPr="00B14E5D" w:rsidRDefault="00467203" w:rsidP="00897316">
      <w:pPr>
        <w:pStyle w:val="Bezmezer"/>
        <w:jc w:val="both"/>
      </w:pPr>
      <w:r w:rsidRPr="00B14E5D">
        <w:t>Od 24.6.2024 budeme lépe chránit údaje našich klientů.</w:t>
      </w:r>
    </w:p>
    <w:p w14:paraId="09E96697" w14:textId="77777777" w:rsidR="00467203" w:rsidRPr="00B14E5D" w:rsidRDefault="00467203" w:rsidP="00897316">
      <w:pPr>
        <w:pStyle w:val="Bezmezer"/>
        <w:jc w:val="both"/>
      </w:pPr>
    </w:p>
    <w:p w14:paraId="5A1177D6" w14:textId="47F42E53" w:rsidR="00467203" w:rsidRPr="00B14E5D" w:rsidRDefault="00467203" w:rsidP="00897316">
      <w:pPr>
        <w:pStyle w:val="Bezmezer"/>
        <w:jc w:val="both"/>
      </w:pPr>
      <w:r w:rsidRPr="00B14E5D">
        <w:t xml:space="preserve">Nově budou </w:t>
      </w:r>
      <w:r w:rsidRPr="00B14E5D">
        <w:rPr>
          <w:b/>
        </w:rPr>
        <w:t>všechny přílohy e-mailů ve formátu PDF odesílané klientům</w:t>
      </w:r>
      <w:r w:rsidRPr="00B14E5D">
        <w:t xml:space="preserve"> k hypotéce z aplikací </w:t>
      </w:r>
      <w:r w:rsidR="00B9301A" w:rsidRPr="00B14E5D">
        <w:t>banky</w:t>
      </w:r>
      <w:r w:rsidRPr="00B14E5D">
        <w:t>, e-mailové výpisy a notifikace z Hypoteční zóny (pokud obsahují přílohu) opatřeny heslem.</w:t>
      </w:r>
    </w:p>
    <w:p w14:paraId="6B2F236F" w14:textId="77777777" w:rsidR="00467203" w:rsidRPr="00B14E5D" w:rsidRDefault="00467203" w:rsidP="00897316">
      <w:pPr>
        <w:pStyle w:val="Bezmezer"/>
        <w:jc w:val="both"/>
      </w:pPr>
    </w:p>
    <w:p w14:paraId="0A6F393C" w14:textId="77777777" w:rsidR="00467203" w:rsidRPr="00B14E5D" w:rsidRDefault="00467203" w:rsidP="00897316">
      <w:pPr>
        <w:pStyle w:val="Bezmezer"/>
        <w:jc w:val="both"/>
      </w:pPr>
      <w:r w:rsidRPr="00B14E5D">
        <w:rPr>
          <w:b/>
        </w:rPr>
        <w:t>Heslem bude číslo hypotéky</w:t>
      </w:r>
      <w:r w:rsidRPr="00B14E5D">
        <w:t xml:space="preserve"> (bez lomítka a pořadového čísla za lomítkem) a </w:t>
      </w:r>
      <w:r w:rsidRPr="00B14E5D">
        <w:rPr>
          <w:b/>
        </w:rPr>
        <w:t>rok narození hlavního žadatele</w:t>
      </w:r>
      <w:r w:rsidRPr="00B14E5D">
        <w:t>. Například pro hypotéku č. 123456/1 a rok narození hlavního žadatele 1985 bude heslem číslo 1234561985.</w:t>
      </w:r>
    </w:p>
    <w:p w14:paraId="67F37974" w14:textId="77777777" w:rsidR="00467203" w:rsidRPr="00B14E5D" w:rsidRDefault="00467203" w:rsidP="00897316">
      <w:pPr>
        <w:pStyle w:val="Bezmezer"/>
        <w:jc w:val="both"/>
      </w:pPr>
    </w:p>
    <w:p w14:paraId="02873C00" w14:textId="77777777" w:rsidR="00467203" w:rsidRPr="00B14E5D" w:rsidRDefault="00467203" w:rsidP="00897316">
      <w:pPr>
        <w:pStyle w:val="Bezmezer"/>
        <w:jc w:val="both"/>
      </w:pPr>
      <w:r w:rsidRPr="00B14E5D">
        <w:t>Tato nápověda k heslu bude automaticky vložena do všech e-mailů, které budou obsahovat zašifrovanou PDF přílohu.</w:t>
      </w:r>
    </w:p>
    <w:p w14:paraId="19156BD9" w14:textId="77777777" w:rsidR="00467203" w:rsidRDefault="00467203" w:rsidP="00467203">
      <w:pPr>
        <w:spacing w:after="0"/>
        <w:jc w:val="both"/>
      </w:pPr>
    </w:p>
    <w:p w14:paraId="65D71EE0" w14:textId="52A24506" w:rsidR="00467203" w:rsidRPr="00BF6BE1" w:rsidRDefault="00467203" w:rsidP="00467203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 xml:space="preserve">Automatické splnění podmínky doložení </w:t>
      </w:r>
      <w:r w:rsidR="005B63CF">
        <w:rPr>
          <w:rFonts w:ascii="Century Gothic" w:hAnsi="Century Gothic"/>
          <w:b/>
          <w:color w:val="FFFFFF" w:themeColor="background1"/>
        </w:rPr>
        <w:t>zástavní smlouvy</w:t>
      </w:r>
      <w:r>
        <w:rPr>
          <w:rFonts w:ascii="Century Gothic" w:hAnsi="Century Gothic"/>
          <w:b/>
          <w:color w:val="FFFFFF" w:themeColor="background1"/>
        </w:rPr>
        <w:t xml:space="preserve"> při el. podpisu</w:t>
      </w:r>
    </w:p>
    <w:p w14:paraId="08C86D51" w14:textId="77777777" w:rsidR="00467203" w:rsidRPr="00B14E5D" w:rsidRDefault="00467203" w:rsidP="00467203">
      <w:pPr>
        <w:spacing w:after="0"/>
        <w:jc w:val="both"/>
        <w:rPr>
          <w:rFonts w:cstheme="minorHAnsi"/>
          <w:bCs/>
        </w:rPr>
      </w:pPr>
      <w:r w:rsidRPr="00B14E5D">
        <w:rPr>
          <w:rFonts w:cstheme="minorHAnsi"/>
          <w:bCs/>
        </w:rPr>
        <w:t xml:space="preserve">Od 24.6.2024 budeme </w:t>
      </w:r>
      <w:r w:rsidRPr="00B14E5D">
        <w:rPr>
          <w:rFonts w:cstheme="minorHAnsi"/>
          <w:b/>
        </w:rPr>
        <w:t>automaticky systémem označovat "čerpací" smluvní podmínku doložení zástavní smlouvy (ujednání č. 2.22 nebo 2.23) za splněnou</w:t>
      </w:r>
      <w:r w:rsidRPr="00B14E5D">
        <w:rPr>
          <w:rFonts w:cstheme="minorHAnsi"/>
          <w:bCs/>
        </w:rPr>
        <w:t xml:space="preserve"> v případě, že klient podepíše zástavní smlouvu </w:t>
      </w:r>
      <w:r w:rsidRPr="00B14E5D">
        <w:rPr>
          <w:rFonts w:cstheme="minorHAnsi"/>
          <w:b/>
        </w:rPr>
        <w:t>elektronicky</w:t>
      </w:r>
      <w:r w:rsidRPr="00B14E5D">
        <w:rPr>
          <w:rFonts w:cstheme="minorHAnsi"/>
          <w:bCs/>
        </w:rPr>
        <w:t>. Splnění podmínky se tak hned propíše do Hypoteční zóny.</w:t>
      </w:r>
    </w:p>
    <w:p w14:paraId="2E096BEE" w14:textId="77777777" w:rsidR="00467203" w:rsidRDefault="00467203" w:rsidP="00467203">
      <w:pPr>
        <w:spacing w:after="0"/>
        <w:jc w:val="both"/>
      </w:pPr>
    </w:p>
    <w:p w14:paraId="3A7E5CB5" w14:textId="77777777" w:rsidR="00467203" w:rsidRPr="00BF6BE1" w:rsidRDefault="00467203" w:rsidP="00467203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 w:rsidRPr="00037B64">
        <w:rPr>
          <w:rFonts w:ascii="Century Gothic" w:hAnsi="Century Gothic"/>
          <w:b/>
          <w:color w:val="FFFFFF" w:themeColor="background1"/>
        </w:rPr>
        <w:t>Platnost Přihlášky k Pojištění hypotéky a její včasné dodání</w:t>
      </w:r>
    </w:p>
    <w:p w14:paraId="419EF6F4" w14:textId="40BA4663" w:rsidR="00467203" w:rsidRPr="00B14E5D" w:rsidRDefault="00467203" w:rsidP="00467203">
      <w:p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 xml:space="preserve">Od </w:t>
      </w:r>
      <w:r w:rsidR="009F1899" w:rsidRPr="00B14E5D">
        <w:rPr>
          <w:rFonts w:cstheme="minorHAnsi"/>
          <w:b/>
          <w:bCs/>
        </w:rPr>
        <w:t>24.6.2024</w:t>
      </w:r>
      <w:r w:rsidRPr="00B14E5D">
        <w:rPr>
          <w:rFonts w:cstheme="minorHAnsi"/>
        </w:rPr>
        <w:t xml:space="preserve"> zavádíme lhůtu pro</w:t>
      </w:r>
      <w:r w:rsidRPr="00B14E5D">
        <w:rPr>
          <w:rFonts w:cstheme="minorHAnsi"/>
          <w:b/>
          <w:bCs/>
        </w:rPr>
        <w:t xml:space="preserve"> platnost Přihlášky k Pojištění hypotéky</w:t>
      </w:r>
      <w:r w:rsidRPr="00B14E5D">
        <w:rPr>
          <w:rFonts w:cstheme="minorHAnsi"/>
        </w:rPr>
        <w:t xml:space="preserve"> (PPI), a to </w:t>
      </w:r>
      <w:r w:rsidRPr="00B14E5D">
        <w:rPr>
          <w:rFonts w:cstheme="minorHAnsi"/>
          <w:b/>
          <w:bCs/>
        </w:rPr>
        <w:t>45</w:t>
      </w:r>
      <w:r w:rsidR="009F1899" w:rsidRPr="00B14E5D">
        <w:rPr>
          <w:rFonts w:cstheme="minorHAnsi"/>
          <w:b/>
          <w:bCs/>
        </w:rPr>
        <w:t> </w:t>
      </w:r>
      <w:r w:rsidRPr="00B14E5D">
        <w:rPr>
          <w:rFonts w:cstheme="minorHAnsi"/>
          <w:b/>
          <w:bCs/>
        </w:rPr>
        <w:t>dní od data jejího vygenerování</w:t>
      </w:r>
      <w:r w:rsidRPr="00B14E5D">
        <w:rPr>
          <w:rFonts w:cstheme="minorHAnsi"/>
        </w:rPr>
        <w:t xml:space="preserve">. </w:t>
      </w:r>
      <w:r w:rsidRPr="00B14E5D">
        <w:rPr>
          <w:rFonts w:cstheme="minorHAnsi"/>
          <w:b/>
          <w:bCs/>
        </w:rPr>
        <w:t>Konkrétní datum</w:t>
      </w:r>
      <w:r w:rsidRPr="00B14E5D">
        <w:rPr>
          <w:rFonts w:cstheme="minorHAnsi"/>
        </w:rPr>
        <w:t xml:space="preserve">, do kdy je možné Přihlášku podepsat, bude </w:t>
      </w:r>
      <w:r w:rsidRPr="00B14E5D">
        <w:rPr>
          <w:rFonts w:cstheme="minorHAnsi"/>
          <w:b/>
          <w:bCs/>
        </w:rPr>
        <w:t>nově součástí každé Přihlášky</w:t>
      </w:r>
      <w:r w:rsidRPr="00B14E5D">
        <w:rPr>
          <w:rFonts w:cstheme="minorHAnsi"/>
        </w:rPr>
        <w:t xml:space="preserve">, a to v její „podpisové části“. </w:t>
      </w:r>
    </w:p>
    <w:p w14:paraId="0A74C244" w14:textId="77777777" w:rsidR="00467203" w:rsidRPr="00B14E5D" w:rsidRDefault="00467203" w:rsidP="00467203">
      <w:p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 xml:space="preserve">Nastavujeme tak jednotná pravidla, která dnes již aplikujeme u „Smluvní dokumentace“ např. Smlouvy o poskytnutí hypotečního úvěru. </w:t>
      </w:r>
    </w:p>
    <w:p w14:paraId="3C4D5317" w14:textId="77777777" w:rsidR="00467203" w:rsidRPr="00B14E5D" w:rsidRDefault="00467203" w:rsidP="00467203">
      <w:pPr>
        <w:spacing w:after="0"/>
        <w:jc w:val="both"/>
        <w:rPr>
          <w:rFonts w:cstheme="minorHAnsi"/>
        </w:rPr>
      </w:pPr>
    </w:p>
    <w:p w14:paraId="7D796F85" w14:textId="77777777" w:rsidR="00467203" w:rsidRPr="00B14E5D" w:rsidRDefault="00467203" w:rsidP="00467203">
      <w:p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 xml:space="preserve">Upozorňujeme, že </w:t>
      </w:r>
      <w:r w:rsidRPr="00B14E5D">
        <w:rPr>
          <w:rFonts w:cstheme="minorHAnsi"/>
          <w:b/>
          <w:bCs/>
        </w:rPr>
        <w:t>po tomto datu již nebude možné Přihlášku podepsat</w:t>
      </w:r>
      <w:r w:rsidRPr="00B14E5D">
        <w:rPr>
          <w:rFonts w:cstheme="minorHAnsi"/>
        </w:rPr>
        <w:t xml:space="preserve">, a naopak bude </w:t>
      </w:r>
      <w:r w:rsidRPr="00B14E5D">
        <w:rPr>
          <w:rFonts w:cstheme="minorHAnsi"/>
          <w:b/>
          <w:bCs/>
        </w:rPr>
        <w:t>vždy nutné požádat o vygenerování nové Přihlášky</w:t>
      </w:r>
      <w:r w:rsidRPr="00B14E5D">
        <w:rPr>
          <w:rFonts w:cstheme="minorHAnsi"/>
        </w:rPr>
        <w:t>, která bude obsahovat i nový termín podpisu.</w:t>
      </w:r>
    </w:p>
    <w:p w14:paraId="550FA490" w14:textId="77777777" w:rsidR="00467203" w:rsidRPr="00B14E5D" w:rsidRDefault="00467203" w:rsidP="00467203">
      <w:pPr>
        <w:spacing w:after="0"/>
        <w:jc w:val="both"/>
        <w:rPr>
          <w:rFonts w:cstheme="minorHAnsi"/>
        </w:rPr>
      </w:pPr>
    </w:p>
    <w:p w14:paraId="2DC60C01" w14:textId="4DF79674" w:rsidR="00B822F1" w:rsidRPr="00B14E5D" w:rsidRDefault="00B9301A" w:rsidP="00B9301A">
      <w:p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 xml:space="preserve">Současně bude nastavena </w:t>
      </w:r>
      <w:r w:rsidR="00B822F1" w:rsidRPr="00B14E5D">
        <w:rPr>
          <w:rFonts w:cstheme="minorHAnsi"/>
        </w:rPr>
        <w:t xml:space="preserve">následující </w:t>
      </w:r>
      <w:r w:rsidRPr="00B14E5D">
        <w:rPr>
          <w:rFonts w:cstheme="minorHAnsi"/>
        </w:rPr>
        <w:t>e-mailová notifikace na klienta</w:t>
      </w:r>
      <w:r w:rsidR="00B822F1" w:rsidRPr="00B14E5D">
        <w:rPr>
          <w:rFonts w:cstheme="minorHAnsi"/>
        </w:rPr>
        <w:t>:</w:t>
      </w:r>
    </w:p>
    <w:p w14:paraId="746EB37F" w14:textId="60C5590D" w:rsidR="00B822F1" w:rsidRPr="00B14E5D" w:rsidRDefault="00467203" w:rsidP="00B822F1">
      <w:pPr>
        <w:pStyle w:val="Odstavecseseznamem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>Upozornění na nedoručení Přihlášky (75.</w:t>
      </w:r>
      <w:r w:rsidR="00B9301A" w:rsidRPr="00B14E5D">
        <w:rPr>
          <w:rFonts w:cstheme="minorHAnsi"/>
        </w:rPr>
        <w:t> </w:t>
      </w:r>
      <w:r w:rsidRPr="00B14E5D">
        <w:rPr>
          <w:rFonts w:cstheme="minorHAnsi"/>
        </w:rPr>
        <w:t>den po vygenerování Přihlášky)</w:t>
      </w:r>
      <w:r w:rsidR="00B822F1" w:rsidRPr="00B14E5D">
        <w:rPr>
          <w:rFonts w:cstheme="minorHAnsi"/>
        </w:rPr>
        <w:t>.</w:t>
      </w:r>
    </w:p>
    <w:p w14:paraId="24D9382F" w14:textId="0DF62DC7" w:rsidR="00467203" w:rsidRPr="00B14E5D" w:rsidRDefault="00467203" w:rsidP="00B822F1">
      <w:pPr>
        <w:pStyle w:val="Odstavecseseznamem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B14E5D">
        <w:rPr>
          <w:rFonts w:cstheme="minorHAnsi"/>
        </w:rPr>
        <w:t>Oznámení o ukončení evidence Pojištění v systému (po uplynutí 90 dní)</w:t>
      </w:r>
      <w:r w:rsidR="00B822F1" w:rsidRPr="00B14E5D">
        <w:rPr>
          <w:rFonts w:cstheme="minorHAnsi"/>
        </w:rPr>
        <w:t>.</w:t>
      </w:r>
    </w:p>
    <w:p w14:paraId="335ABD3C" w14:textId="77777777" w:rsidR="005B63CF" w:rsidRPr="005B63CF" w:rsidRDefault="005B63CF" w:rsidP="00754D40">
      <w:pPr>
        <w:pStyle w:val="Bezmezer"/>
      </w:pPr>
      <w:bookmarkStart w:id="2" w:name="_Hlk168311190"/>
    </w:p>
    <w:p w14:paraId="3B1A87D4" w14:textId="77777777" w:rsidR="005B63CF" w:rsidRPr="005B63CF" w:rsidRDefault="005B63CF" w:rsidP="009F1899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 w:rsidRPr="005B63CF">
        <w:rPr>
          <w:rFonts w:ascii="Century Gothic" w:hAnsi="Century Gothic"/>
          <w:b/>
          <w:color w:val="FFFFFF" w:themeColor="background1"/>
        </w:rPr>
        <w:t>Implementace Obchodních podmínek do Úvěrové smlouvy</w:t>
      </w:r>
    </w:p>
    <w:p w14:paraId="03D9B27A" w14:textId="7FD0830D" w:rsidR="005B63CF" w:rsidRPr="00A21E11" w:rsidRDefault="005B63CF" w:rsidP="00754D40">
      <w:pPr>
        <w:autoSpaceDE w:val="0"/>
        <w:autoSpaceDN w:val="0"/>
        <w:adjustRightInd w:val="0"/>
        <w:jc w:val="both"/>
        <w:rPr>
          <w:rFonts w:cstheme="minorHAnsi"/>
          <w:bCs/>
        </w:rPr>
      </w:pPr>
      <w:bookmarkStart w:id="3" w:name="_Hlk166140458"/>
      <w:r w:rsidRPr="00A21E11">
        <w:rPr>
          <w:rFonts w:cstheme="minorHAnsi"/>
          <w:bCs/>
        </w:rPr>
        <w:t>S účinností od 24.6.2024 vstupují v platnost nové Obchodní podmínky pro poskytování</w:t>
      </w:r>
      <w:r w:rsidR="009F1899" w:rsidRPr="00A21E11">
        <w:rPr>
          <w:rFonts w:cstheme="minorHAnsi"/>
          <w:bCs/>
        </w:rPr>
        <w:t xml:space="preserve"> </w:t>
      </w:r>
      <w:r w:rsidRPr="00A21E11">
        <w:rPr>
          <w:rFonts w:cstheme="minorHAnsi"/>
          <w:bCs/>
        </w:rPr>
        <w:t>hypotečních úvěrů spotřebitelům (dále jen „Obchodní podmínky“). Znění Obchodních podmínek bylo upraveno v rámci čl. VII., odst. 4, kdy byla doplněna informace týkající se řešení případných sporů.</w:t>
      </w:r>
    </w:p>
    <w:p w14:paraId="51A0995B" w14:textId="6772CB8A" w:rsidR="005B63CF" w:rsidRDefault="005B63CF" w:rsidP="00754D40">
      <w:pPr>
        <w:pStyle w:val="Bezmezer"/>
        <w:jc w:val="both"/>
      </w:pPr>
      <w:r w:rsidRPr="00A21E11">
        <w:t>Od uvedeného data se Obchodní podmínky zároveň stávají nedílnou součástí Smlouvy o poskytnutí hypotečního úvěru, přičemž jejich kompletní znění bude uvedeno v rámci čl. XI</w:t>
      </w:r>
      <w:r w:rsidR="00BF0EB0" w:rsidRPr="00A21E11">
        <w:t xml:space="preserve"> </w:t>
      </w:r>
      <w:bookmarkStart w:id="4" w:name="_Hlk168317709"/>
      <w:r w:rsidR="00BF0EB0" w:rsidRPr="00A21E11">
        <w:t>(týká se smluvní dokumentace generované po tomto datu).</w:t>
      </w:r>
      <w:r w:rsidRPr="00A21E11">
        <w:t xml:space="preserve"> </w:t>
      </w:r>
      <w:bookmarkEnd w:id="4"/>
    </w:p>
    <w:p w14:paraId="79AC25B4" w14:textId="77777777" w:rsidR="00754D40" w:rsidRPr="00A21E11" w:rsidRDefault="00754D40" w:rsidP="00754D40">
      <w:pPr>
        <w:pStyle w:val="Bezmezer"/>
      </w:pPr>
    </w:p>
    <w:p w14:paraId="76CBA443" w14:textId="77777777" w:rsidR="00B14E5D" w:rsidRPr="00BF6BE1" w:rsidRDefault="00B14E5D" w:rsidP="00B14E5D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>Nulové příjmy u spolužadatelů</w:t>
      </w:r>
    </w:p>
    <w:bookmarkEnd w:id="3"/>
    <w:bookmarkEnd w:id="2"/>
    <w:p w14:paraId="1EA5B5BC" w14:textId="62547590" w:rsidR="00D61A9E" w:rsidRDefault="00D61A9E" w:rsidP="00D61A9E">
      <w:pPr>
        <w:pStyle w:val="Bezmezer"/>
        <w:jc w:val="both"/>
      </w:pPr>
      <w:r w:rsidRPr="00A21E11">
        <w:t>S účinností od 24. 6. 2024</w:t>
      </w:r>
      <w:r w:rsidRPr="00F72C00">
        <w:t xml:space="preserve"> </w:t>
      </w:r>
      <w:r>
        <w:t xml:space="preserve">i pro již rozpracované úvěry </w:t>
      </w:r>
      <w:r w:rsidRPr="00F72C00">
        <w:t>je možné akceptovat</w:t>
      </w:r>
      <w:r>
        <w:t xml:space="preserve"> kromě žadatelů ve vztahu manžel/manželka i další </w:t>
      </w:r>
      <w:r w:rsidRPr="00854A39">
        <w:rPr>
          <w:b/>
        </w:rPr>
        <w:t>žadatele o úvěr s nulovým příjmem</w:t>
      </w:r>
      <w:r>
        <w:rPr>
          <w:b/>
        </w:rPr>
        <w:t xml:space="preserve">. </w:t>
      </w:r>
      <w:r>
        <w:t xml:space="preserve">Vždy se musí jednat o žadatele, který splňuje metodikou definovanou vazbu Počet žadatelů a povolené vazby mezi žadateli (Metodický </w:t>
      </w:r>
      <w:r w:rsidR="0087095E">
        <w:t xml:space="preserve">pokyn </w:t>
      </w:r>
      <w:r>
        <w:t>pro externisty, kpt. 3.2 Počet žadatelů a povolené vazby mezi žadateli).</w:t>
      </w:r>
    </w:p>
    <w:p w14:paraId="5639BEAB" w14:textId="77777777" w:rsidR="00D61A9E" w:rsidRDefault="00D61A9E" w:rsidP="00D61A9E">
      <w:pPr>
        <w:suppressAutoHyphens/>
        <w:spacing w:before="120" w:after="120" w:line="288" w:lineRule="auto"/>
        <w:jc w:val="both"/>
        <w:rPr>
          <w:rFonts w:cstheme="minorHAnsi"/>
          <w:bCs/>
        </w:rPr>
      </w:pPr>
      <w:r w:rsidRPr="00B84BEE">
        <w:rPr>
          <w:rFonts w:cstheme="minorHAnsi"/>
          <w:b/>
        </w:rPr>
        <w:t>Při hodnocení platební kapacity je nutné</w:t>
      </w:r>
      <w:r>
        <w:rPr>
          <w:rFonts w:cstheme="minorHAnsi"/>
          <w:bCs/>
        </w:rPr>
        <w:t xml:space="preserve"> </w:t>
      </w:r>
      <w:r w:rsidRPr="00C4523F">
        <w:rPr>
          <w:rFonts w:cstheme="minorHAnsi"/>
          <w:b/>
        </w:rPr>
        <w:t>zohlednit také veškeré</w:t>
      </w:r>
      <w:r w:rsidRPr="00F878BD">
        <w:rPr>
          <w:rFonts w:cstheme="minorHAnsi"/>
          <w:b/>
        </w:rPr>
        <w:t xml:space="preserve"> výdaje</w:t>
      </w:r>
      <w:r>
        <w:rPr>
          <w:rFonts w:cstheme="minorHAnsi"/>
          <w:bCs/>
        </w:rPr>
        <w:t xml:space="preserve"> tohoto žadatele. Resp. postup lze využít, pokud je celkový disponibilní příjem na úvěru dostatečný a úvěrové ukazatele DSTI, DTI vyhodnoceny v souladu s aktuálně platnými limity.</w:t>
      </w:r>
    </w:p>
    <w:p w14:paraId="46361DBD" w14:textId="129F9FFD" w:rsidR="00754D40" w:rsidRDefault="00D61A9E" w:rsidP="00754D40">
      <w:pPr>
        <w:pStyle w:val="Bezmezer"/>
      </w:pPr>
      <w:r>
        <w:t xml:space="preserve">Žadatel s nulovým příjmem povinně </w:t>
      </w:r>
      <w:r w:rsidRPr="000F7969">
        <w:rPr>
          <w:b/>
        </w:rPr>
        <w:t xml:space="preserve">deklaruje </w:t>
      </w:r>
      <w:r>
        <w:rPr>
          <w:b/>
        </w:rPr>
        <w:t xml:space="preserve">konkrétní </w:t>
      </w:r>
      <w:r w:rsidRPr="000F7969">
        <w:rPr>
          <w:b/>
        </w:rPr>
        <w:t>zdroj svých příjmů</w:t>
      </w:r>
      <w:r>
        <w:t xml:space="preserve">. </w:t>
      </w:r>
    </w:p>
    <w:p w14:paraId="1A7A9102" w14:textId="77777777" w:rsidR="00754D40" w:rsidRPr="00754D40" w:rsidRDefault="00754D40" w:rsidP="00754D40">
      <w:pPr>
        <w:pStyle w:val="Bezmezer"/>
      </w:pPr>
    </w:p>
    <w:p w14:paraId="2C342F5D" w14:textId="77777777" w:rsidR="00262335" w:rsidRPr="00BF6BE1" w:rsidRDefault="00262335" w:rsidP="00262335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 xml:space="preserve">Produktivní věk žadatele </w:t>
      </w:r>
    </w:p>
    <w:p w14:paraId="080E5810" w14:textId="0DCBF9DC" w:rsidR="00C523C5" w:rsidRDefault="00C523C5" w:rsidP="0060136E">
      <w:pPr>
        <w:pStyle w:val="Bezmezer"/>
        <w:jc w:val="both"/>
      </w:pPr>
      <w:r w:rsidRPr="004B6494">
        <w:rPr>
          <w:b/>
          <w:bCs/>
        </w:rPr>
        <w:t>S účinností od 24. 6. 2024</w:t>
      </w:r>
      <w:r w:rsidRPr="008C024C">
        <w:t xml:space="preserve"> </w:t>
      </w:r>
      <w:r>
        <w:t>pro nově založené žádosti (automaticky generované datum) bude v</w:t>
      </w:r>
      <w:r w:rsidR="0060136E">
        <w:t> Modelové hypotéce</w:t>
      </w:r>
      <w:r w:rsidR="00A51FBD">
        <w:t xml:space="preserve">/API </w:t>
      </w:r>
      <w:r>
        <w:t xml:space="preserve">dostupný </w:t>
      </w:r>
      <w:r w:rsidRPr="00F02B95">
        <w:rPr>
          <w:b/>
          <w:bCs/>
        </w:rPr>
        <w:t>číselník profesí</w:t>
      </w:r>
      <w:r>
        <w:t>, který reflektuje rozdělení profesí na „těžce pracující“ a „ostatní“. Pole profese je povinné.</w:t>
      </w:r>
    </w:p>
    <w:p w14:paraId="55ACF74E" w14:textId="65839B22" w:rsidR="00622716" w:rsidRDefault="00C523C5" w:rsidP="00754D40">
      <w:pPr>
        <w:pStyle w:val="Bezmezer"/>
        <w:jc w:val="both"/>
      </w:pPr>
      <w:r>
        <w:t>V případě, že v číselníku profesí není oddíl, do kterého by bylo možné klienta přiřadit, je možnost zvolit „Jiné“ a novém okně vypsat konkrétní profesi uváděnou klientem</w:t>
      </w:r>
      <w:r w:rsidR="0060136E">
        <w:t>.</w:t>
      </w:r>
    </w:p>
    <w:p w14:paraId="50A78FB7" w14:textId="77777777" w:rsidR="00754D40" w:rsidRPr="001527EA" w:rsidRDefault="00754D40" w:rsidP="00754D40">
      <w:pPr>
        <w:pStyle w:val="Bezmezer"/>
      </w:pPr>
    </w:p>
    <w:p w14:paraId="67986205" w14:textId="77777777" w:rsidR="00622716" w:rsidRDefault="00622716" w:rsidP="00622716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t>Změna ve sběru PENB</w:t>
      </w:r>
    </w:p>
    <w:p w14:paraId="6F26ED02" w14:textId="4D165EE3" w:rsidR="00622716" w:rsidRDefault="00622716" w:rsidP="00622716">
      <w:pPr>
        <w:spacing w:after="0" w:line="240" w:lineRule="auto"/>
        <w:jc w:val="both"/>
      </w:pPr>
      <w:r>
        <w:t xml:space="preserve">U hypotečních úvěrů </w:t>
      </w:r>
      <w:r>
        <w:rPr>
          <w:b/>
          <w:bCs/>
        </w:rPr>
        <w:t>rozšiřujeme sběr Průkazů energetické náročnosti budovy (PENB) pro hlavní účel úvěru rekonstrukce</w:t>
      </w:r>
      <w:r>
        <w:t>. Povinnost mít vyhotovený PENB při rekonstrukci nemovitosti vyplývá ze Zákona o hospodaření energií č. 406/2000 Sb. a týká se situací, kdy dochází k větší změně dokončené budovy, tj. ke změně plochy obálky budovy o více než 25 % (</w:t>
      </w:r>
      <w:r>
        <w:rPr>
          <w:i/>
          <w:iCs/>
        </w:rPr>
        <w:t xml:space="preserve">většinou se jedná o zateplení nemovitosti, výměnu </w:t>
      </w:r>
      <w:proofErr w:type="gramStart"/>
      <w:r>
        <w:rPr>
          <w:i/>
          <w:iCs/>
        </w:rPr>
        <w:t>oken,</w:t>
      </w:r>
      <w:proofErr w:type="gramEnd"/>
      <w:r>
        <w:rPr>
          <w:i/>
          <w:iCs/>
        </w:rPr>
        <w:t xml:space="preserve"> apod.</w:t>
      </w:r>
      <w:r>
        <w:t>).</w:t>
      </w:r>
    </w:p>
    <w:p w14:paraId="435F4E54" w14:textId="77777777" w:rsidR="00622716" w:rsidRDefault="00622716" w:rsidP="00622716">
      <w:pPr>
        <w:spacing w:after="0" w:line="240" w:lineRule="auto"/>
        <w:jc w:val="both"/>
      </w:pPr>
    </w:p>
    <w:p w14:paraId="3A4CB5DF" w14:textId="77777777" w:rsidR="00622716" w:rsidRDefault="00622716" w:rsidP="00622716">
      <w:pPr>
        <w:spacing w:after="0" w:line="240" w:lineRule="auto"/>
        <w:jc w:val="both"/>
      </w:pPr>
      <w:r>
        <w:t xml:space="preserve">V rámci nového procesu bude PENB získáván nejen </w:t>
      </w:r>
      <w:r>
        <w:rPr>
          <w:b/>
          <w:bCs/>
        </w:rPr>
        <w:t>k objektu úvěru, ale nově i k zástavám,</w:t>
      </w:r>
      <w:r>
        <w:t xml:space="preserve"> a to v situacích, kdy </w:t>
      </w:r>
      <w:r>
        <w:rPr>
          <w:b/>
          <w:bCs/>
        </w:rPr>
        <w:t xml:space="preserve">je zástava odlišná od objektu úvěru </w:t>
      </w:r>
      <w:r>
        <w:t xml:space="preserve">a </w:t>
      </w:r>
      <w:r>
        <w:rPr>
          <w:b/>
          <w:bCs/>
        </w:rPr>
        <w:t>PENB má klient k dispozici</w:t>
      </w:r>
      <w:r>
        <w:t>.</w:t>
      </w:r>
    </w:p>
    <w:p w14:paraId="2BE9FF2F" w14:textId="77777777" w:rsidR="00622716" w:rsidRDefault="00622716" w:rsidP="00622716">
      <w:pPr>
        <w:spacing w:after="0" w:line="240" w:lineRule="auto"/>
        <w:jc w:val="both"/>
      </w:pPr>
      <w:r>
        <w:t>Nadále platí, že slevu za Hypotéku na úsporné bydlení lze uplatnit pouze v případě, kdy je štítek dodán k objektu úvěru.</w:t>
      </w:r>
    </w:p>
    <w:p w14:paraId="4AEF7960" w14:textId="77777777" w:rsidR="00622716" w:rsidRDefault="00622716" w:rsidP="00622716">
      <w:pPr>
        <w:spacing w:after="0" w:line="240" w:lineRule="auto"/>
        <w:jc w:val="both"/>
      </w:pPr>
    </w:p>
    <w:p w14:paraId="601046C4" w14:textId="77777777" w:rsidR="00622716" w:rsidRDefault="00622716" w:rsidP="00622716">
      <w:pPr>
        <w:spacing w:after="0" w:line="240" w:lineRule="auto"/>
        <w:jc w:val="both"/>
      </w:pPr>
      <w:r>
        <w:t xml:space="preserve">Sběr hodnot o energetické náročnosti budovy získaných z PENB rozšiřujeme o nový parametr „Primární energie z neobnovitelných </w:t>
      </w:r>
      <w:proofErr w:type="gramStart"/>
      <w:r>
        <w:t xml:space="preserve">zdrojů - </w:t>
      </w:r>
      <w:r>
        <w:rPr>
          <w:b/>
          <w:bCs/>
        </w:rPr>
        <w:t>referenční</w:t>
      </w:r>
      <w:proofErr w:type="gramEnd"/>
      <w:r>
        <w:rPr>
          <w:b/>
          <w:bCs/>
        </w:rPr>
        <w:t xml:space="preserve"> hodnota</w:t>
      </w:r>
      <w:r>
        <w:t>“, pokud je hodnota k dispozici.</w:t>
      </w:r>
    </w:p>
    <w:p w14:paraId="438A16BE" w14:textId="77777777" w:rsidR="00897316" w:rsidRDefault="00897316" w:rsidP="00897316">
      <w:pPr>
        <w:spacing w:after="0" w:line="240" w:lineRule="auto"/>
        <w:jc w:val="both"/>
      </w:pPr>
    </w:p>
    <w:p w14:paraId="71BBA0F1" w14:textId="6D3D3EBF" w:rsidR="00897316" w:rsidRDefault="002A29CA" w:rsidP="00897316">
      <w:pPr>
        <w:spacing w:after="0" w:line="240" w:lineRule="auto"/>
        <w:jc w:val="both"/>
      </w:pPr>
      <w:r>
        <w:t xml:space="preserve">Aktualizované postupy </w:t>
      </w:r>
      <w:r w:rsidR="00897316" w:rsidRPr="00EC319C">
        <w:t xml:space="preserve">naleznete na Informatoriu v části </w:t>
      </w:r>
      <w:r>
        <w:t>Ú</w:t>
      </w:r>
      <w:r w:rsidR="00897316" w:rsidRPr="00EC319C">
        <w:t>pravy metodiky.</w:t>
      </w:r>
    </w:p>
    <w:p w14:paraId="032CD32D" w14:textId="77777777" w:rsidR="00622716" w:rsidRDefault="00622716" w:rsidP="00622716">
      <w:pPr>
        <w:spacing w:after="0" w:line="240" w:lineRule="auto"/>
        <w:jc w:val="both"/>
      </w:pPr>
    </w:p>
    <w:p w14:paraId="381270FB" w14:textId="0A974C85" w:rsidR="005B63CF" w:rsidRPr="00BF6BE1" w:rsidRDefault="005B63CF" w:rsidP="005B63CF">
      <w:pPr>
        <w:pBdr>
          <w:top w:val="single" w:sz="18" w:space="1" w:color="0070C0"/>
          <w:left w:val="single" w:sz="18" w:space="4" w:color="0070C0"/>
          <w:bottom w:val="single" w:sz="18" w:space="0" w:color="0070C0"/>
          <w:right w:val="single" w:sz="18" w:space="4" w:color="0070C0"/>
        </w:pBdr>
        <w:shd w:val="clear" w:color="auto" w:fill="0070C0"/>
        <w:spacing w:after="0"/>
        <w:ind w:left="142"/>
        <w:jc w:val="center"/>
        <w:rPr>
          <w:rFonts w:ascii="Century Gothic" w:hAnsi="Century Gothic"/>
          <w:b/>
          <w:color w:val="FFFFFF" w:themeColor="background1"/>
        </w:rPr>
      </w:pPr>
      <w:r>
        <w:rPr>
          <w:rFonts w:ascii="Century Gothic" w:hAnsi="Century Gothic"/>
          <w:b/>
          <w:color w:val="FFFFFF" w:themeColor="background1"/>
        </w:rPr>
        <w:lastRenderedPageBreak/>
        <w:t xml:space="preserve">Modelová hypotéka v barvách ČSOB skupiny </w:t>
      </w:r>
    </w:p>
    <w:p w14:paraId="36852CDE" w14:textId="77777777" w:rsidR="005B63CF" w:rsidRPr="0060136E" w:rsidRDefault="005B63CF" w:rsidP="005B63CF">
      <w:pPr>
        <w:spacing w:after="0"/>
        <w:jc w:val="both"/>
        <w:rPr>
          <w:rFonts w:cstheme="minorHAnsi"/>
          <w:bCs/>
        </w:rPr>
      </w:pPr>
      <w:r w:rsidRPr="0060136E">
        <w:rPr>
          <w:rFonts w:cstheme="minorHAnsi"/>
          <w:bCs/>
        </w:rPr>
        <w:t xml:space="preserve">Dne 19.2.2024 došlo k přejmenování Hypoteční banky a.s. na </w:t>
      </w:r>
      <w:r w:rsidRPr="0060136E">
        <w:rPr>
          <w:rFonts w:cstheme="minorHAnsi"/>
          <w:b/>
        </w:rPr>
        <w:t>ČSOB Hypoteční banku a.s.</w:t>
      </w:r>
      <w:r w:rsidRPr="0060136E">
        <w:rPr>
          <w:rFonts w:cstheme="minorHAnsi"/>
          <w:bCs/>
        </w:rPr>
        <w:t xml:space="preserve">  Malá, ale důležitá změna. Řekla totiž jasně: „Jsme součástí skupiny ČSOB, velké značky </w:t>
      </w:r>
      <w:proofErr w:type="gramStart"/>
      <w:r w:rsidRPr="0060136E">
        <w:rPr>
          <w:rFonts w:cstheme="minorHAnsi"/>
          <w:bCs/>
        </w:rPr>
        <w:t>s  4</w:t>
      </w:r>
      <w:proofErr w:type="gramEnd"/>
      <w:r w:rsidRPr="0060136E">
        <w:rPr>
          <w:rFonts w:cstheme="minorHAnsi"/>
          <w:bCs/>
        </w:rPr>
        <w:t xml:space="preserve">,3 miliony klientů.  </w:t>
      </w:r>
    </w:p>
    <w:p w14:paraId="2E1718C4" w14:textId="77777777" w:rsidR="005B63CF" w:rsidRPr="0060136E" w:rsidRDefault="005B63CF" w:rsidP="005B63CF">
      <w:pPr>
        <w:spacing w:after="0"/>
        <w:jc w:val="both"/>
        <w:rPr>
          <w:rFonts w:cstheme="minorHAnsi"/>
          <w:bCs/>
        </w:rPr>
      </w:pPr>
    </w:p>
    <w:p w14:paraId="471DE20E" w14:textId="77777777" w:rsidR="005B63CF" w:rsidRPr="0060136E" w:rsidRDefault="005B63CF" w:rsidP="005B63CF">
      <w:pPr>
        <w:spacing w:after="0"/>
        <w:jc w:val="both"/>
        <w:rPr>
          <w:rFonts w:cstheme="minorHAnsi"/>
          <w:bCs/>
        </w:rPr>
      </w:pPr>
      <w:r w:rsidRPr="0060136E">
        <w:rPr>
          <w:rFonts w:cstheme="minorHAnsi"/>
          <w:bCs/>
        </w:rPr>
        <w:t>Rádi bychom vás informovali, že jsme dokončili další úpravy související s výše uvedenou změnou v aplikaci Modelová Hypotéka (MH) a od 22.6.-.23.6.2024</w:t>
      </w:r>
    </w:p>
    <w:p w14:paraId="60761E88" w14:textId="77777777" w:rsidR="005B63CF" w:rsidRPr="0060136E" w:rsidRDefault="005B63CF" w:rsidP="005B63CF">
      <w:pPr>
        <w:spacing w:after="0"/>
        <w:jc w:val="both"/>
        <w:rPr>
          <w:rFonts w:cstheme="minorHAnsi"/>
          <w:bCs/>
        </w:rPr>
      </w:pPr>
      <w:r w:rsidRPr="0060136E">
        <w:rPr>
          <w:rFonts w:cstheme="minorHAnsi"/>
          <w:bCs/>
        </w:rPr>
        <w:t>bude MH v barvách ČSOB skupiny.</w:t>
      </w:r>
    </w:p>
    <w:p w14:paraId="2E7E3361" w14:textId="77777777" w:rsidR="005B63CF" w:rsidRPr="0060136E" w:rsidRDefault="005B63CF" w:rsidP="005B63CF">
      <w:pPr>
        <w:spacing w:after="0"/>
        <w:jc w:val="both"/>
        <w:rPr>
          <w:rFonts w:cstheme="minorHAnsi"/>
          <w:bCs/>
        </w:rPr>
      </w:pPr>
    </w:p>
    <w:p w14:paraId="3091AC6F" w14:textId="69AE1958" w:rsidR="00C53AF0" w:rsidRDefault="005B63CF" w:rsidP="00040D0D">
      <w:pPr>
        <w:spacing w:after="0"/>
        <w:jc w:val="both"/>
        <w:rPr>
          <w:rFonts w:cstheme="minorHAnsi"/>
          <w:bCs/>
        </w:rPr>
      </w:pPr>
      <w:r w:rsidRPr="0060136E">
        <w:rPr>
          <w:rFonts w:cstheme="minorHAnsi"/>
          <w:bCs/>
        </w:rPr>
        <w:t>Přihlašování a práce s aplikací MH zůstává beze změny.</w:t>
      </w:r>
    </w:p>
    <w:p w14:paraId="5CB8DED0" w14:textId="77777777" w:rsidR="00622716" w:rsidRPr="0060136E" w:rsidRDefault="00622716" w:rsidP="00040D0D">
      <w:pPr>
        <w:spacing w:after="0"/>
        <w:jc w:val="both"/>
        <w:rPr>
          <w:rFonts w:cstheme="minorHAnsi"/>
          <w:b/>
          <w:color w:val="FFFFFF" w:themeColor="background1"/>
        </w:rPr>
      </w:pPr>
    </w:p>
    <w:sectPr w:rsidR="00622716" w:rsidRPr="0060136E" w:rsidSect="007617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8DDB8" w14:textId="77777777" w:rsidR="007328ED" w:rsidRDefault="007328ED" w:rsidP="00956AC0">
      <w:pPr>
        <w:spacing w:after="0" w:line="240" w:lineRule="auto"/>
      </w:pPr>
      <w:r>
        <w:separator/>
      </w:r>
    </w:p>
  </w:endnote>
  <w:endnote w:type="continuationSeparator" w:id="0">
    <w:p w14:paraId="42000D8A" w14:textId="77777777" w:rsidR="007328ED" w:rsidRDefault="007328ED" w:rsidP="0095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64C7" w14:textId="77777777" w:rsidR="002A29CA" w:rsidRDefault="002A29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D2F9E" w14:textId="1E7F20C2" w:rsidR="00A8366D" w:rsidRPr="00897316" w:rsidRDefault="00761744">
    <w:pPr>
      <w:pStyle w:val="Zpat"/>
    </w:pPr>
    <w:r w:rsidRPr="00897316">
      <w:t xml:space="preserve">Odbor Procesní řízení                                          </w:t>
    </w:r>
    <w:r w:rsidR="00A8366D" w:rsidRPr="00897316">
      <w:t xml:space="preserve">                                                  </w:t>
    </w:r>
    <w:r w:rsidR="000D2129" w:rsidRPr="00897316">
      <w:t xml:space="preserve">                      </w:t>
    </w:r>
    <w:r w:rsidR="00B215B9" w:rsidRPr="00897316">
      <w:t xml:space="preserve">     </w:t>
    </w:r>
    <w:r w:rsidR="004D6E8D" w:rsidRPr="00897316">
      <w:t xml:space="preserve">  </w:t>
    </w:r>
    <w:r w:rsidR="00AA3248" w:rsidRPr="00897316">
      <w:t>červen</w:t>
    </w:r>
    <w:r w:rsidR="000155EE" w:rsidRPr="00897316">
      <w:t xml:space="preserve"> 202</w:t>
    </w:r>
    <w:r w:rsidR="00574904" w:rsidRPr="00897316">
      <w:t>4</w:t>
    </w:r>
  </w:p>
  <w:p w14:paraId="4C589B36" w14:textId="77777777" w:rsidR="00DF0517" w:rsidRDefault="00DF051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3BC0B" w14:textId="77777777" w:rsidR="002A29CA" w:rsidRDefault="002A29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79735" w14:textId="77777777" w:rsidR="007328ED" w:rsidRDefault="007328ED" w:rsidP="00956AC0">
      <w:pPr>
        <w:spacing w:after="0" w:line="240" w:lineRule="auto"/>
      </w:pPr>
      <w:r>
        <w:separator/>
      </w:r>
    </w:p>
  </w:footnote>
  <w:footnote w:type="continuationSeparator" w:id="0">
    <w:p w14:paraId="55B47610" w14:textId="77777777" w:rsidR="007328ED" w:rsidRDefault="007328ED" w:rsidP="0095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3466A" w14:textId="77777777" w:rsidR="002A29CA" w:rsidRDefault="002A29C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B060" w14:textId="55F536D9" w:rsidR="00956AC0" w:rsidRDefault="001B254B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45F661" wp14:editId="7838CDB0">
              <wp:simplePos x="0" y="0"/>
              <wp:positionH relativeFrom="page">
                <wp:posOffset>6884670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564614154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75FD05" w14:textId="77777777" w:rsidR="001B254B" w:rsidRPr="001B254B" w:rsidRDefault="001B254B" w:rsidP="001B254B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1B254B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3C8C2D1B" w14:textId="21786D4E" w:rsidR="001B254B" w:rsidRPr="001B254B" w:rsidRDefault="001B254B" w:rsidP="001B254B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1B254B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5F661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6" type="#_x0000_t202" style="position:absolute;margin-left:542.1pt;margin-top:14.15pt;width:43.25pt;height:50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" o:allowincell="f" filled="f" stroked="f" strokeweight=".5pt">
              <v:fill o:detectmouseclick="t"/>
              <v:textbox>
                <w:txbxContent>
                  <w:p w14:paraId="3875FD05" w14:textId="77777777" w:rsidR="001B254B" w:rsidRPr="001B254B" w:rsidRDefault="001B254B" w:rsidP="001B254B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1B254B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3C8C2D1B" w14:textId="21786D4E" w:rsidR="001B254B" w:rsidRPr="001B254B" w:rsidRDefault="001B254B" w:rsidP="001B254B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1B254B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19D3C" w14:textId="77777777" w:rsidR="002A29CA" w:rsidRDefault="002A29C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C5DD6"/>
    <w:multiLevelType w:val="hybridMultilevel"/>
    <w:tmpl w:val="9DC88EFC"/>
    <w:lvl w:ilvl="0" w:tplc="678CF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3837"/>
    <w:multiLevelType w:val="multilevel"/>
    <w:tmpl w:val="9AC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141FF"/>
    <w:multiLevelType w:val="hybridMultilevel"/>
    <w:tmpl w:val="2AB23F12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3127BA"/>
    <w:multiLevelType w:val="hybridMultilevel"/>
    <w:tmpl w:val="95FC48A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22A"/>
    <w:multiLevelType w:val="hybridMultilevel"/>
    <w:tmpl w:val="AC6C4F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C546F"/>
    <w:multiLevelType w:val="hybridMultilevel"/>
    <w:tmpl w:val="FA48604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67AD2"/>
    <w:multiLevelType w:val="multilevel"/>
    <w:tmpl w:val="19B0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73CDF"/>
    <w:multiLevelType w:val="hybridMultilevel"/>
    <w:tmpl w:val="86FE66EA"/>
    <w:lvl w:ilvl="0" w:tplc="0405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8" w15:restartNumberingAfterBreak="0">
    <w:nsid w:val="5A2B5E56"/>
    <w:multiLevelType w:val="hybridMultilevel"/>
    <w:tmpl w:val="9DEA98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23CBB"/>
    <w:multiLevelType w:val="hybridMultilevel"/>
    <w:tmpl w:val="29340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E16CF"/>
    <w:multiLevelType w:val="hybridMultilevel"/>
    <w:tmpl w:val="7ECE3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1701A"/>
    <w:multiLevelType w:val="hybridMultilevel"/>
    <w:tmpl w:val="E5A6AA8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23C7A"/>
    <w:multiLevelType w:val="hybridMultilevel"/>
    <w:tmpl w:val="A9FA581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75155061">
    <w:abstractNumId w:val="8"/>
  </w:num>
  <w:num w:numId="2" w16cid:durableId="1361128618">
    <w:abstractNumId w:val="11"/>
  </w:num>
  <w:num w:numId="3" w16cid:durableId="1738480777">
    <w:abstractNumId w:val="3"/>
  </w:num>
  <w:num w:numId="4" w16cid:durableId="726492959">
    <w:abstractNumId w:val="2"/>
  </w:num>
  <w:num w:numId="5" w16cid:durableId="1741557978">
    <w:abstractNumId w:val="7"/>
  </w:num>
  <w:num w:numId="6" w16cid:durableId="1814373175">
    <w:abstractNumId w:val="12"/>
  </w:num>
  <w:num w:numId="7" w16cid:durableId="2129424501">
    <w:abstractNumId w:val="10"/>
  </w:num>
  <w:num w:numId="8" w16cid:durableId="540436348">
    <w:abstractNumId w:val="9"/>
  </w:num>
  <w:num w:numId="9" w16cid:durableId="353118209">
    <w:abstractNumId w:val="4"/>
  </w:num>
  <w:num w:numId="10" w16cid:durableId="1719936081">
    <w:abstractNumId w:val="5"/>
  </w:num>
  <w:num w:numId="11" w16cid:durableId="2088261781">
    <w:abstractNumId w:val="6"/>
  </w:num>
  <w:num w:numId="12" w16cid:durableId="263465983">
    <w:abstractNumId w:val="1"/>
  </w:num>
  <w:num w:numId="13" w16cid:durableId="177571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AC0"/>
    <w:rsid w:val="00002EB3"/>
    <w:rsid w:val="000155EE"/>
    <w:rsid w:val="00040D0D"/>
    <w:rsid w:val="00042BF5"/>
    <w:rsid w:val="00061F7A"/>
    <w:rsid w:val="000A7A96"/>
    <w:rsid w:val="000C1BE0"/>
    <w:rsid w:val="000C40CC"/>
    <w:rsid w:val="000D2129"/>
    <w:rsid w:val="00125F74"/>
    <w:rsid w:val="00126973"/>
    <w:rsid w:val="0013282D"/>
    <w:rsid w:val="001527EA"/>
    <w:rsid w:val="00184D35"/>
    <w:rsid w:val="00185A5C"/>
    <w:rsid w:val="0019322E"/>
    <w:rsid w:val="001B254B"/>
    <w:rsid w:val="001F1097"/>
    <w:rsid w:val="001F2EF4"/>
    <w:rsid w:val="00212322"/>
    <w:rsid w:val="00225FDE"/>
    <w:rsid w:val="00233B1A"/>
    <w:rsid w:val="00237F45"/>
    <w:rsid w:val="00262335"/>
    <w:rsid w:val="00286E30"/>
    <w:rsid w:val="002A29CA"/>
    <w:rsid w:val="002B2B37"/>
    <w:rsid w:val="002D7805"/>
    <w:rsid w:val="003134D2"/>
    <w:rsid w:val="0032114F"/>
    <w:rsid w:val="00326CF9"/>
    <w:rsid w:val="00364097"/>
    <w:rsid w:val="003716E9"/>
    <w:rsid w:val="003958C9"/>
    <w:rsid w:val="003B45DD"/>
    <w:rsid w:val="00406922"/>
    <w:rsid w:val="0040695B"/>
    <w:rsid w:val="004273D3"/>
    <w:rsid w:val="004306AA"/>
    <w:rsid w:val="00440F7B"/>
    <w:rsid w:val="00460479"/>
    <w:rsid w:val="00465881"/>
    <w:rsid w:val="00467203"/>
    <w:rsid w:val="004805E4"/>
    <w:rsid w:val="004C5D1B"/>
    <w:rsid w:val="004D6E8D"/>
    <w:rsid w:val="004E006D"/>
    <w:rsid w:val="00574904"/>
    <w:rsid w:val="00592DDD"/>
    <w:rsid w:val="00595378"/>
    <w:rsid w:val="005B63CF"/>
    <w:rsid w:val="005C58C4"/>
    <w:rsid w:val="0060136E"/>
    <w:rsid w:val="00604B0B"/>
    <w:rsid w:val="00605172"/>
    <w:rsid w:val="00622716"/>
    <w:rsid w:val="00646CEE"/>
    <w:rsid w:val="006B3506"/>
    <w:rsid w:val="006D049F"/>
    <w:rsid w:val="006E74CA"/>
    <w:rsid w:val="007328ED"/>
    <w:rsid w:val="00754D40"/>
    <w:rsid w:val="00761744"/>
    <w:rsid w:val="0076607E"/>
    <w:rsid w:val="00766427"/>
    <w:rsid w:val="007726F2"/>
    <w:rsid w:val="007A50EF"/>
    <w:rsid w:val="007A6F4D"/>
    <w:rsid w:val="007B77BC"/>
    <w:rsid w:val="00803176"/>
    <w:rsid w:val="00807208"/>
    <w:rsid w:val="0081627B"/>
    <w:rsid w:val="00841E5F"/>
    <w:rsid w:val="008520C8"/>
    <w:rsid w:val="00860920"/>
    <w:rsid w:val="00862B62"/>
    <w:rsid w:val="00865450"/>
    <w:rsid w:val="0087095E"/>
    <w:rsid w:val="00897316"/>
    <w:rsid w:val="008D1641"/>
    <w:rsid w:val="00913066"/>
    <w:rsid w:val="00937335"/>
    <w:rsid w:val="00956AC0"/>
    <w:rsid w:val="00995FA4"/>
    <w:rsid w:val="009F1899"/>
    <w:rsid w:val="00A05149"/>
    <w:rsid w:val="00A17335"/>
    <w:rsid w:val="00A21E11"/>
    <w:rsid w:val="00A51FBD"/>
    <w:rsid w:val="00A8366D"/>
    <w:rsid w:val="00AA3248"/>
    <w:rsid w:val="00AB0BDB"/>
    <w:rsid w:val="00AC6B32"/>
    <w:rsid w:val="00AD56BC"/>
    <w:rsid w:val="00AE0D1B"/>
    <w:rsid w:val="00AF1D13"/>
    <w:rsid w:val="00B058A6"/>
    <w:rsid w:val="00B14E5D"/>
    <w:rsid w:val="00B20655"/>
    <w:rsid w:val="00B215B9"/>
    <w:rsid w:val="00B459B8"/>
    <w:rsid w:val="00B52B2E"/>
    <w:rsid w:val="00B822F1"/>
    <w:rsid w:val="00B9301A"/>
    <w:rsid w:val="00BA2069"/>
    <w:rsid w:val="00BA2E76"/>
    <w:rsid w:val="00BA7660"/>
    <w:rsid w:val="00BE66ED"/>
    <w:rsid w:val="00BF0EB0"/>
    <w:rsid w:val="00BF111D"/>
    <w:rsid w:val="00BF6BE1"/>
    <w:rsid w:val="00C07D34"/>
    <w:rsid w:val="00C10B38"/>
    <w:rsid w:val="00C120A3"/>
    <w:rsid w:val="00C20A4B"/>
    <w:rsid w:val="00C523C5"/>
    <w:rsid w:val="00C53AF0"/>
    <w:rsid w:val="00C66FFE"/>
    <w:rsid w:val="00C93BCC"/>
    <w:rsid w:val="00C94360"/>
    <w:rsid w:val="00CB194C"/>
    <w:rsid w:val="00D15234"/>
    <w:rsid w:val="00D5202E"/>
    <w:rsid w:val="00D61A9E"/>
    <w:rsid w:val="00D82BE2"/>
    <w:rsid w:val="00DF0517"/>
    <w:rsid w:val="00E04F47"/>
    <w:rsid w:val="00E416C4"/>
    <w:rsid w:val="00E54DED"/>
    <w:rsid w:val="00E5588E"/>
    <w:rsid w:val="00E74A24"/>
    <w:rsid w:val="00E84EAC"/>
    <w:rsid w:val="00F205CA"/>
    <w:rsid w:val="00F721F0"/>
    <w:rsid w:val="00FB013B"/>
    <w:rsid w:val="00FB2855"/>
    <w:rsid w:val="00F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57D37"/>
  <w15:chartTrackingRefBased/>
  <w15:docId w15:val="{BBD86144-B6EB-4BBE-86E0-0F65E3EE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F6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6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56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56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56AC0"/>
  </w:style>
  <w:style w:type="paragraph" w:styleId="Zpat">
    <w:name w:val="footer"/>
    <w:basedOn w:val="Normln"/>
    <w:link w:val="ZpatChar"/>
    <w:uiPriority w:val="99"/>
    <w:unhideWhenUsed/>
    <w:rsid w:val="00956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56AC0"/>
  </w:style>
  <w:style w:type="paragraph" w:styleId="Odstavecseseznamem">
    <w:name w:val="List Paragraph"/>
    <w:basedOn w:val="Normln"/>
    <w:uiPriority w:val="34"/>
    <w:qFormat/>
    <w:rsid w:val="0060517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71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unhideWhenUsed/>
    <w:rsid w:val="00184D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286E30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BF6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kaznakoment">
    <w:name w:val="annotation reference"/>
    <w:basedOn w:val="Standardnpsmoodstavce"/>
    <w:uiPriority w:val="99"/>
    <w:semiHidden/>
    <w:unhideWhenUsed/>
    <w:rsid w:val="0046720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6720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672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B5DBF-EAAD-43B1-9D04-50E975C2C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FB8ABF-3265-4CB9-AE53-1C5B7C6CF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42BBF-1C20-453E-9AD7-D1AE3F3E7B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1989B0-B652-4D10-89A9-2589094763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4914</Characters>
  <Application>Microsoft Office Word</Application>
  <DocSecurity>0</DocSecurity>
  <Lines>99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Přehled procesních změn os 13.7.2020</vt:lpstr>
    </vt:vector>
  </TitlesOfParts>
  <Company>Hypoteční Banka, a.s.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Přehled procesních změn os 13.7.2020</dc:title>
  <dc:subject/>
  <dc:creator>CHALOUPKOVÁ Pavla</dc:creator>
  <cp:keywords/>
  <dc:description/>
  <cp:lastModifiedBy>PEŠATOVÁ Lenka</cp:lastModifiedBy>
  <cp:revision>2</cp:revision>
  <dcterms:created xsi:type="dcterms:W3CDTF">2024-06-13T07:30:00Z</dcterms:created>
  <dcterms:modified xsi:type="dcterms:W3CDTF">2024-06-13T07:30:00Z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class="C1" owner="CHALOUPKOVÁ Pavla" position="TopRight" marginX="0" marginY="0" classifiedOn="2024-06-13T09:30:48.143</vt:lpwstr>
  </property>
  <property fmtid="{D5CDD505-2E9C-101B-9397-08002B2CF9AE}" pid="3" name="HB-DocumentTagging.ClassificationMark.P01">
    <vt:lpwstr>713+02:00" showPrintedBy="false" showPrintDate="false" language="cs" ApplicationVersion="Microsoft Word, 16.0" addinVersion="5.10.4.12" template="HB"&gt;&lt;history bulk="false" class="Interní" code="C1" user="Pešatová Lenka" date="2024-06-13T09:30:48.1437</vt:lpwstr>
  </property>
  <property fmtid="{D5CDD505-2E9C-101B-9397-08002B2CF9AE}" pid="4" name="HB-DocumentTagging.ClassificationMark.P02">
    <vt:lpwstr>13+02:00"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Interní</vt:lpwstr>
  </property>
  <property fmtid="{D5CDD505-2E9C-101B-9397-08002B2CF9AE}" pid="7" name="HB-DLP">
    <vt:lpwstr>HB-DLP:TAGInternal</vt:lpwstr>
  </property>
  <property fmtid="{D5CDD505-2E9C-101B-9397-08002B2CF9AE}" pid="8" name="ContentTypeId">
    <vt:lpwstr>0x0101009D84FBECE65EAA4DB77ADDEB10348A33</vt:lpwstr>
  </property>
</Properties>
</file>