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6E78"/>
          <w:sz w:val="22"/>
        </w:rPr>
        <w:t>SỞ GIÁO DỤC VÀ ĐÀO TẠO HÀ NỘI</w:t>
        <w:br/>
        <w:t>TRƯỜNG THPT QA SMARTSCHOOL</w:t>
        <w:br/>
        <w:t>----------***----------</w:t>
      </w:r>
    </w:p>
    <w:p>
      <w:pPr>
        <w:spacing w:before="240" w:after="240"/>
        <w:jc w:val="center"/>
      </w:pPr>
      <w:r>
        <w:rPr>
          <w:b/>
          <w:color w:val="1976D2"/>
          <w:sz w:val="28"/>
        </w:rPr>
        <w:t>GIÁO ÁN GIẢNG DẠY CHI TIẾT</w:t>
        <w:br/>
        <w:t>MÔN: HÓA HỌC - KHỐI 12</w:t>
      </w:r>
    </w:p>
    <w:p>
      <w:pPr>
        <w:jc w:val="center"/>
      </w:pPr>
      <w:r>
        <w:rPr>
          <w:b/>
          <w:color w:val="D32F2F"/>
          <w:sz w:val="25"/>
        </w:rPr>
        <w:t>BÀI HỌC: Nhôm và hợp chất của Nhôm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Giáo viên hướng dẫn: </w:t>
            </w:r>
            <w:r>
              <w:t>Thầy/Cô Tổ bộ môn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Ngày soạn: </w:t>
            </w:r>
            <w:r>
              <w:t>25/05/2026</w:t>
            </w:r>
          </w:p>
        </w:tc>
      </w:tr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Lớp học áp dụng: </w:t>
            </w:r>
            <w:r>
              <w:t>Khối lớp 12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Tiết học theo phân phối chương trình: </w:t>
            </w:r>
            <w:r>
              <w:t>Tiết thứ 18 - 19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976D2"/>
          <w:sz w:val="24"/>
        </w:rPr>
        <w:t>I. MỤC TIÊU BÀI HỌC</w:t>
      </w:r>
    </w:p>
    <w:p>
      <w:pPr>
        <w:spacing w:before="80" w:after="40"/>
      </w:pPr>
      <w:r>
        <w:rPr>
          <w:b/>
          <w:sz w:val="22"/>
        </w:rPr>
        <w:t>1. Kiến thức:</w:t>
      </w:r>
    </w:p>
    <w:p>
      <w:pPr>
        <w:pStyle w:val="ListBullet"/>
        <w:spacing w:after="40"/>
      </w:pPr>
      <w:r>
        <w:t>Học sinh nắm vững các khái niệm cơ bản về chuyên đề: Nhôm và hợp chất của Nhôm.</w:t>
      </w:r>
    </w:p>
    <w:p>
      <w:pPr>
        <w:pStyle w:val="ListBullet"/>
        <w:spacing w:after="40"/>
      </w:pPr>
      <w:r>
        <w:t>Hiểu sâu về các công thức, định lý liên quan và cách áp dụng vào giải quyết các bài toán thực tế.</w:t>
      </w:r>
    </w:p>
    <w:p>
      <w:pPr>
        <w:pStyle w:val="ListBullet"/>
        <w:spacing w:after="40"/>
      </w:pPr>
      <w:r>
        <w:t>Biết liên hệ kiến thức lý thuyết đã học với các ví dụ thực tiễn trong đời sống hàng ngày.</w:t>
      </w:r>
    </w:p>
    <w:p>
      <w:pPr>
        <w:spacing w:before="80" w:after="40"/>
      </w:pPr>
      <w:r>
        <w:rPr>
          <w:b/>
          <w:sz w:val="22"/>
        </w:rPr>
        <w:t>2. Kĩ năng:</w:t>
      </w:r>
    </w:p>
    <w:p>
      <w:pPr>
        <w:pStyle w:val="ListBullet"/>
        <w:spacing w:after="40"/>
      </w:pPr>
      <w:r>
        <w:t>Phát triển kĩ năng tư duy logic, phân tích tổng hợp vấn đề một cách khách quan.</w:t>
      </w:r>
    </w:p>
    <w:p>
      <w:pPr>
        <w:pStyle w:val="ListBullet"/>
        <w:spacing w:after="40"/>
      </w:pPr>
      <w:r>
        <w:t>Rèn luyện kĩ năng thuyết trình nhóm, tranh luận và giải quyết bài tập theo nhóm dự án.</w:t>
      </w:r>
    </w:p>
    <w:p>
      <w:pPr>
        <w:pStyle w:val="ListBullet"/>
        <w:spacing w:after="40"/>
      </w:pPr>
      <w:r>
        <w:t>Kĩ năng sử dụng các công cụ học tập tương tác số trên bảng tương tác thông minh SmartTouch.</w:t>
      </w:r>
    </w:p>
    <w:p>
      <w:pPr>
        <w:spacing w:before="80" w:after="40"/>
      </w:pPr>
      <w:r>
        <w:rPr>
          <w:b/>
          <w:sz w:val="22"/>
        </w:rPr>
        <w:t>3. Thái độ:</w:t>
      </w:r>
    </w:p>
    <w:p>
      <w:pPr>
        <w:pStyle w:val="ListBullet"/>
        <w:spacing w:after="40"/>
      </w:pPr>
      <w:r>
        <w:t>Nghiêm túc, chủ động tìm tòi kiến thức và hăng hái phát biểu xây dựng bài giảng.</w:t>
      </w:r>
    </w:p>
    <w:p>
      <w:pPr>
        <w:pStyle w:val="ListBullet"/>
        <w:spacing w:after="40"/>
      </w:pPr>
      <w:r>
        <w:t>Tích cực hợp tác trong các hoạt động đội nhóm học tập.</w:t>
      </w:r>
    </w:p>
    <w:p>
      <w:pPr>
        <w:spacing w:before="240" w:after="80"/>
      </w:pPr>
      <w:r>
        <w:rPr>
          <w:b/>
          <w:color w:val="1976D2"/>
          <w:sz w:val="24"/>
        </w:rPr>
        <w:t>II. THIẾT BỊ VÀ HỌC LIỆU DẠY HỌC</w:t>
      </w:r>
    </w:p>
    <w:p>
      <w:pPr>
        <w:spacing w:before="80" w:after="40"/>
      </w:pPr>
      <w:r>
        <w:rPr>
          <w:b/>
          <w:sz w:val="22"/>
        </w:rPr>
        <w:t>1. Thiết bị học đường:</w:t>
      </w:r>
    </w:p>
    <w:p>
      <w:pPr>
        <w:pStyle w:val="ListBullet"/>
        <w:spacing w:after="40"/>
      </w:pPr>
      <w:r>
        <w:t>Bảng tương tác thông minh QA SmartTouch tích hợp ứng dụng QA SmartClass.</w:t>
      </w:r>
    </w:p>
    <w:p>
      <w:pPr>
        <w:pStyle w:val="ListBullet"/>
        <w:spacing w:after="40"/>
      </w:pPr>
      <w:r>
        <w:t>Máy chiếu, loa kết nối không dây, thẻ từ học sinh để điểm danh tự động.</w:t>
      </w:r>
    </w:p>
    <w:p>
      <w:pPr>
        <w:spacing w:before="80" w:after="40"/>
      </w:pPr>
      <w:r>
        <w:rPr>
          <w:b/>
          <w:sz w:val="22"/>
        </w:rPr>
        <w:t>2. Học liệu giảng dạy:</w:t>
      </w:r>
    </w:p>
    <w:p>
      <w:pPr>
        <w:pStyle w:val="ListBullet"/>
        <w:spacing w:after="40"/>
      </w:pPr>
      <w:r>
        <w:t>Sách giáo khoa, sách bài tập bổ trợ chuyên sâu của môn học.</w:t>
      </w:r>
    </w:p>
    <w:p>
      <w:pPr>
        <w:pStyle w:val="ListBullet"/>
        <w:spacing w:after="40"/>
      </w:pPr>
      <w:r>
        <w:t>Phiếu học tập nhóm (bản cứng) và tệp bài giảng tương tác đa phương tiện (.pdf, video mẫu).</w:t>
      </w:r>
    </w:p>
    <w:p>
      <w:pPr>
        <w:spacing w:before="120" w:after="120"/>
        <w:ind w:left="720" w:right="720"/>
        <w:pBdr>
          <w:left w:val="single" w:sz="24" w:space="12" w:color="1976D2"/>
        </w:pBdr>
        <w:shd w:fill="E3F2FD"/>
      </w:pPr>
      <w:r>
        <w:rPr>
          <w:rFonts w:ascii="Arial" w:hAnsi="Arial"/>
          <w:i/>
          <w:sz w:val="20"/>
        </w:rPr>
        <w:t>💡 Lưu ý sư phạm: Giáo viên chú trọng cho học sinh thảo luận nhóm từ 3-5 phút trước khi tiến hành giải bài tập lớn trên bảng thông minh để kích thích tinh thần phản biện học đường.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