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1">
      <w:pPr>
        <w:rPr/>
        <w:jc w:val="center"/>
      </w:pPr>
      <w:r>
        <w:rPr>
          <w:sz w:val="24"/>
          <w:szCs w:val="24"/>
          <w:b/>
          <w:bCs/>
        </w:rPr>
        <w:t xml:space="preserve">LAW ENFORCEMENT SENSITIVE</w:t>
      </w:r>
    </w:p>
    <w:p w14:paraId="00000002">
      <w:pPr>
        <w:rPr/>
      </w:pPr>
    </w:p>
    <w:p w14:paraId="00000003">
      <w:pPr>
        <w:rPr/>
        <w:jc w:val="center"/>
      </w:pPr>
      <w:r>
        <w:rPr>
          <w:sz w:val="36"/>
          <w:szCs w:val="36"/>
          <w:b/>
          <w:bCs/>
        </w:rPr>
        <w:t xml:space="preserve">Digital Forensic Examination Report</w:t>
      </w:r>
    </w:p>
    <w:p w14:paraId="00000004">
      <w:pPr>
        <w:rPr/>
        <w:jc w:val="center"/>
      </w:pPr>
      <w:r>
        <w:rPr>
          <w:sz w:val="20"/>
          <w:szCs w:val="20"/>
        </w:rPr>
        <w:t xml:space="preserve">Report #FR-2026-0001 | Version 1.0</w:t>
      </w:r>
    </w:p>
    <w:p w14:paraId="00000005">
      <w:pPr>
        <w:rPr/>
      </w:pPr>
    </w:p>
    <w:p w14:paraId="00000006">
      <w:pPr>
        <w:rPr/>
      </w:pPr>
      <w:r>
        <w:rPr>
          <w:sz w:val="28"/>
          <w:szCs w:val="28"/>
          <w:b/>
          <w:bCs/>
        </w:rPr>
        <w:t xml:space="preserve">Case Information</w:t>
      </w:r>
    </w:p>
    <w:tbl>
      <w:tblPr>
        <w:tblW w:w="0" w:type="auto"/>
        <w:jc w:val="lef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tr>
        <w:trPr/>
        <w:tc>
          <w:tcPr>
            <w:tcW w:w="2000" w:type="dxa"/>
          </w:tcPr>
          <w:p w14:paraId="00000007">
            <w:pPr>
              <w:rPr/>
            </w:pPr>
            <w:r>
              <w:rPr>
                <w:sz w:val="20"/>
                <w:szCs w:val="20"/>
                <w:b/>
                <w:bCs/>
              </w:rPr>
              <w:t xml:space="preserve">Case Number</w:t>
            </w:r>
          </w:p>
        </w:tc>
        <w:tc>
          <w:tcPr/>
          <w:p w14:paraId="00000008">
            <w:pPr>
              <w:rPr/>
            </w:pPr>
            <w:r>
              <w:rPr>
                <w:sz w:val="20"/>
                <w:szCs w:val="20"/>
              </w:rPr>
              <w:t xml:space="preserve">2026-CF-00123</w:t>
            </w:r>
          </w:p>
        </w:tc>
      </w:tr>
      <w:tr>
        <w:trPr/>
        <w:tc>
          <w:tcPr>
            <w:tcW w:w="2000" w:type="dxa"/>
          </w:tcPr>
          <w:p w14:paraId="00000009">
            <w:pPr>
              <w:rPr/>
            </w:pPr>
            <w:r>
              <w:rPr>
                <w:sz w:val="20"/>
                <w:szCs w:val="20"/>
                <w:b/>
                <w:bCs/>
              </w:rPr>
              <w:t xml:space="preserve">Case Name</w:t>
            </w:r>
          </w:p>
        </w:tc>
        <w:tc>
          <w:tcPr/>
          <w:p w14:paraId="0000000a">
            <w:pPr>
              <w:rPr/>
            </w:pPr>
            <w:r>
              <w:rPr>
                <w:sz w:val="20"/>
                <w:szCs w:val="20"/>
              </w:rPr>
              <w:t xml:space="preserve">State v. John Doe</w:t>
            </w:r>
          </w:p>
        </w:tc>
      </w:tr>
      <w:tr>
        <w:trPr/>
        <w:tc>
          <w:tcPr>
            <w:tcW w:w="2000" w:type="dxa"/>
          </w:tcPr>
          <w:p w14:paraId="0000000b">
            <w:pPr>
              <w:rPr/>
            </w:pPr>
            <w:r>
              <w:rPr>
                <w:sz w:val="20"/>
                <w:szCs w:val="20"/>
                <w:b/>
                <w:bCs/>
              </w:rPr>
              <w:t xml:space="preserve">Agency</w:t>
            </w:r>
          </w:p>
        </w:tc>
        <w:tc>
          <w:tcPr/>
          <w:p w14:paraId="0000000c">
            <w:pPr>
              <w:rPr/>
            </w:pPr>
            <w:r>
              <w:rPr>
                <w:sz w:val="20"/>
                <w:szCs w:val="20"/>
              </w:rPr>
              <w:t xml:space="preserve">Metro Police Department</w:t>
            </w:r>
          </w:p>
        </w:tc>
      </w:tr>
      <w:tr>
        <w:trPr/>
        <w:tc>
          <w:tcPr>
            <w:tcW w:w="2000" w:type="dxa"/>
          </w:tcPr>
          <w:p w14:paraId="0000000d">
            <w:pPr>
              <w:rPr/>
            </w:pPr>
            <w:r>
              <w:rPr>
                <w:sz w:val="20"/>
                <w:szCs w:val="20"/>
                <w:b/>
                <w:bCs/>
              </w:rPr>
              <w:t xml:space="preserve">Requestor</w:t>
            </w:r>
          </w:p>
        </w:tc>
        <w:tc>
          <w:tcPr/>
          <w:p w14:paraId="0000000e">
            <w:pPr>
              <w:rPr/>
            </w:pPr>
            <w:r>
              <w:rPr>
                <w:sz w:val="20"/>
                <w:szCs w:val="20"/>
              </w:rPr>
              <w:t xml:space="preserve">Det. Jane Smith</w:t>
            </w:r>
          </w:p>
        </w:tc>
      </w:tr>
    </w:tbl>
    <w:p w14:paraId="0000000f">
      <w:pPr>
        <w:rPr/>
      </w:pPr>
      <w:r>
        <w:rPr>
          <w:sz w:val="24"/>
          <w:szCs w:val="24"/>
          <w:b/>
          <w:bCs/>
        </w:rPr>
        <w:t xml:space="preserve">Examiner</w:t>
      </w:r>
    </w:p>
    <w:tbl>
      <w:tblPr>
        <w:tblW w:w="0" w:type="auto"/>
        <w:jc w:val="lef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tr>
        <w:trPr/>
        <w:tc>
          <w:tcPr>
            <w:tcW w:w="2000" w:type="dxa"/>
          </w:tcPr>
          <w:p w14:paraId="00000010">
            <w:pPr>
              <w:rPr/>
            </w:pPr>
            <w:r>
              <w:rPr>
                <w:sz w:val="20"/>
                <w:szCs w:val="20"/>
                <w:b/>
                <w:bCs/>
              </w:rPr>
              <w:t xml:space="preserve">Name</w:t>
            </w:r>
          </w:p>
        </w:tc>
        <w:tc>
          <w:tcPr/>
          <w:p w14:paraId="00000011">
            <w:pPr>
              <w:rPr/>
            </w:pPr>
            <w:r>
              <w:rPr>
                <w:sz w:val="20"/>
                <w:szCs w:val="20"/>
              </w:rPr>
              <w:t xml:space="preserve">Alex Johnson</w:t>
            </w:r>
          </w:p>
        </w:tc>
      </w:tr>
      <w:tr>
        <w:trPr/>
        <w:tc>
          <w:tcPr>
            <w:tcW w:w="2000" w:type="dxa"/>
          </w:tcPr>
          <w:p w14:paraId="00000012">
            <w:pPr>
              <w:rPr/>
            </w:pPr>
            <w:r>
              <w:rPr>
                <w:sz w:val="20"/>
                <w:szCs w:val="20"/>
                <w:b/>
                <w:bCs/>
              </w:rPr>
              <w:t xml:space="preserve">Title</w:t>
            </w:r>
          </w:p>
        </w:tc>
        <w:tc>
          <w:tcPr/>
          <w:p w14:paraId="00000013">
            <w:pPr>
              <w:rPr/>
            </w:pPr>
            <w:r>
              <w:rPr>
                <w:sz w:val="20"/>
                <w:szCs w:val="20"/>
              </w:rPr>
              <w:t xml:space="preserve">Senior Digital Forensic Examiner</w:t>
            </w:r>
          </w:p>
        </w:tc>
      </w:tr>
      <w:tr>
        <w:trPr/>
        <w:tc>
          <w:tcPr>
            <w:tcW w:w="2000" w:type="dxa"/>
          </w:tcPr>
          <w:p w14:paraId="00000014">
            <w:pPr>
              <w:rPr/>
            </w:pPr>
            <w:r>
              <w:rPr>
                <w:sz w:val="20"/>
                <w:szCs w:val="20"/>
                <w:b/>
                <w:bCs/>
              </w:rPr>
              <w:t xml:space="preserve">Organization</w:t>
            </w:r>
          </w:p>
        </w:tc>
        <w:tc>
          <w:tcPr/>
          <w:p w14:paraId="00000015">
            <w:pPr>
              <w:rPr/>
            </w:pPr>
            <w:r>
              <w:rPr>
                <w:sz w:val="20"/>
                <w:szCs w:val="20"/>
              </w:rPr>
              <w:t xml:space="preserve">Metro Police Forensic Lab</w:t>
            </w:r>
          </w:p>
        </w:tc>
      </w:tr>
      <w:tr>
        <w:trPr/>
        <w:tc>
          <w:tcPr>
            <w:tcW w:w="2000" w:type="dxa"/>
          </w:tcPr>
          <w:p w14:paraId="00000016">
            <w:pPr>
              <w:rPr/>
            </w:pPr>
            <w:r>
              <w:rPr>
                <w:sz w:val="20"/>
                <w:szCs w:val="20"/>
                <w:b/>
                <w:bCs/>
              </w:rPr>
              <w:t xml:space="preserve">Email</w:t>
            </w:r>
          </w:p>
        </w:tc>
        <w:tc>
          <w:tcPr/>
          <w:p w14:paraId="00000017">
            <w:pPr>
              <w:rPr/>
            </w:pPr>
            <w:r>
              <w:rPr>
                <w:sz w:val="20"/>
                <w:szCs w:val="20"/>
              </w:rPr>
              <w:t xml:space="preserve">ajohnson@metro.gov</w:t>
            </w:r>
          </w:p>
        </w:tc>
      </w:tr>
      <w:tr>
        <w:trPr/>
        <w:tc>
          <w:tcPr>
            <w:tcW w:w="2000" w:type="dxa"/>
          </w:tcPr>
          <w:p w14:paraId="00000018">
            <w:pPr>
              <w:rPr/>
            </w:pPr>
            <w:r>
              <w:rPr>
                <w:sz w:val="20"/>
                <w:szCs w:val="20"/>
                <w:b/>
                <w:bCs/>
              </w:rPr>
              <w:t xml:space="preserve">Certifications</w:t>
            </w:r>
          </w:p>
        </w:tc>
        <w:tc>
          <w:tcPr/>
          <w:p w14:paraId="00000019">
            <w:pPr>
              <w:rPr/>
            </w:pPr>
            <w:r>
              <w:rPr>
                <w:sz w:val="20"/>
                <w:szCs w:val="20"/>
              </w:rPr>
              <w:t xml:space="preserve">EnCE (EnCase Certified Examiner), GCFE (GIAC Certified Forensic Examiner), ACE (AccessData Certified Examiner)</w:t>
            </w:r>
          </w:p>
        </w:tc>
      </w:tr>
    </w:tbl>
    <w:p w14:paraId="0000001a">
      <w:pPr>
        <w:rPr/>
      </w:pPr>
    </w:p>
    <w:p w14:paraId="0000001b">
      <w:pPr>
        <w:rPr/>
      </w:pPr>
      <w:r>
        <w:rPr>
          <w:sz w:val="28"/>
          <w:szCs w:val="28"/>
          <w:b/>
          <w:bCs/>
        </w:rPr>
        <w:t xml:space="preserve">Executive Summary</w:t>
      </w:r>
    </w:p>
    <w:p w14:paraId="0000001c">
      <w:pPr>
        <w:rPr/>
      </w:pPr>
      <w:r>
        <w:rPr>
          <w:sz w:val="20"/>
          <w:szCs w:val="20"/>
        </w:rPr>
        <w:t xml:space="preserve">This report documents the forensic examination of digital evidence seized pursuant to Search Warrant #2026-SW-456. The examination revealed several artifacts of evidentiary value including documents, communications, and internet history relevant to the investigation. Key findings include evidence of document manipulation and communication records between subjects of interest.</w:t>
      </w:r>
    </w:p>
    <w:p w14:paraId="0000001d">
      <w:pPr>
        <w:rPr/>
      </w:pPr>
    </w:p>
    <w:p w14:paraId="0000001e">
      <w:pPr>
        <w:rPr/>
      </w:pPr>
      <w:r>
        <w:rPr>
          <w:sz w:val="28"/>
          <w:szCs w:val="28"/>
          <w:b/>
          <w:bCs/>
        </w:rPr>
        <w:t xml:space="preserve">Scope of Examination</w:t>
      </w:r>
    </w:p>
    <w:p w14:paraId="0000001f">
      <w:pPr>
        <w:rPr/>
      </w:pPr>
      <w:r>
        <w:rPr>
          <w:sz w:val="20"/>
          <w:szCs w:val="20"/>
        </w:rPr>
        <w:t xml:space="preserve">The scope of this examination was limited to the recovery and analysis of digital artifacts from the submitted evidence items. This examination focused on document recovery, communication analysis, and timeline reconstruction.</w:t>
      </w:r>
    </w:p>
    <w:p w14:paraId="00000020">
      <w:pPr>
        <w:rPr/>
      </w:pPr>
    </w:p>
    <w:p w14:paraId="00000021">
      <w:pPr>
        <w:rPr/>
      </w:pPr>
      <w:r>
        <w:rPr>
          <w:sz w:val="28"/>
          <w:szCs w:val="28"/>
          <w:b/>
          <w:bCs/>
        </w:rPr>
        <w:t xml:space="preserve">Methodology</w:t>
      </w:r>
    </w:p>
    <w:p w14:paraId="00000022">
      <w:pPr>
        <w:rPr/>
      </w:pPr>
      <w:r>
        <w:rPr>
          <w:sz w:val="20"/>
          <w:szCs w:val="20"/>
        </w:rPr>
        <w:t xml:space="preserve">Standard forensic methodology was employed throughout this examination:1. Evidence intake and chain of custody documentation2. Forensic imaging using write-blocking hardware3. Hash verification of forensic images4. Systematic artifact extraction and analysis5. Documentation and report generation</w:t>
      </w:r>
    </w:p>
    <w:p w14:paraId="00000023">
      <w:pPr>
        <w:rPr/>
      </w:pPr>
    </w:p>
    <w:p w14:paraId="00000024">
      <w:pPr>
        <w:rPr/>
      </w:pPr>
      <w:r>
        <w:rPr>
          <w:sz w:val="28"/>
          <w:szCs w:val="28"/>
          <w:b/>
          <w:bCs/>
        </w:rPr>
        <w:t xml:space="preserve">Evidence Examined</w:t>
      </w:r>
    </w:p>
    <w:tbl>
      <w:tblPr>
        <w:tblW w:w="0" w:type="auto"/>
        <w:jc w:val="lef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tr>
        <w:trPr/>
        <w:tc>
          <w:tcPr>
            <w:shd w:val="clear" w:color="auto" w:fill="1a365d"/>
          </w:tcPr>
          <w:p w14:paraId="00000025">
            <w:pPr>
              <w:rPr/>
            </w:pPr>
            <w:r>
              <w:rPr>
                <w:sz w:val="18"/>
                <w:szCs w:val="18"/>
                <w:b/>
                <w:bCs/>
              </w:rPr>
              <w:t xml:space="preserve">ID</w:t>
            </w:r>
          </w:p>
        </w:tc>
        <w:tc>
          <w:tcPr>
            <w:shd w:val="clear" w:color="auto" w:fill="1a365d"/>
          </w:tcPr>
          <w:p w14:paraId="00000026">
            <w:pPr>
              <w:rPr/>
            </w:pPr>
            <w:r>
              <w:rPr>
                <w:sz w:val="18"/>
                <w:szCs w:val="18"/>
                <w:b/>
                <w:bCs/>
              </w:rPr>
              <w:t xml:space="preserve">Description</w:t>
            </w:r>
          </w:p>
        </w:tc>
        <w:tc>
          <w:tcPr>
            <w:shd w:val="clear" w:color="auto" w:fill="1a365d"/>
          </w:tcPr>
          <w:p w14:paraId="00000027">
            <w:pPr>
              <w:rPr/>
            </w:pPr>
            <w:r>
              <w:rPr>
                <w:sz w:val="18"/>
                <w:szCs w:val="18"/>
                <w:b/>
                <w:bCs/>
              </w:rPr>
              <w:t xml:space="preserve">Type</w:t>
            </w:r>
          </w:p>
        </w:tc>
        <w:tc>
          <w:tcPr>
            <w:shd w:val="clear" w:color="auto" w:fill="1a365d"/>
          </w:tcPr>
          <w:p w14:paraId="00000028">
            <w:pPr>
              <w:rPr/>
            </w:pPr>
            <w:r>
              <w:rPr>
                <w:sz w:val="18"/>
                <w:szCs w:val="18"/>
                <w:b/>
                <w:bCs/>
              </w:rPr>
              <w:t xml:space="preserve">Serial Number</w:t>
            </w:r>
          </w:p>
        </w:tc>
        <w:tc>
          <w:tcPr>
            <w:shd w:val="clear" w:color="auto" w:fill="1a365d"/>
          </w:tcPr>
          <w:p w14:paraId="00000029">
            <w:pPr>
              <w:rPr/>
            </w:pPr>
            <w:r>
              <w:rPr>
                <w:sz w:val="18"/>
                <w:szCs w:val="18"/>
                <w:b/>
                <w:bCs/>
              </w:rPr>
              <w:t xml:space="preserve">Capacity</w:t>
            </w:r>
          </w:p>
        </w:tc>
      </w:tr>
      <w:tr>
        <w:trPr/>
        <w:tc>
          <w:tcPr/>
          <w:p w14:paraId="0000002a">
            <w:pPr>
              <w:rPr/>
            </w:pPr>
            <w:r>
              <w:rPr>
                <w:sz w:val="18"/>
                <w:szCs w:val="18"/>
              </w:rPr>
              <w:t xml:space="preserve">E001</w:t>
            </w:r>
          </w:p>
        </w:tc>
        <w:tc>
          <w:tcPr/>
          <w:p w14:paraId="0000002b">
            <w:pPr>
              <w:rPr/>
            </w:pPr>
            <w:r>
              <w:rPr>
                <w:sz w:val="18"/>
                <w:szCs w:val="18"/>
              </w:rPr>
              <w:t xml:space="preserve">Dell Latitude laptop computer</w:t>
            </w:r>
          </w:p>
        </w:tc>
        <w:tc>
          <w:tcPr/>
          <w:p w14:paraId="0000002c">
            <w:pPr>
              <w:rPr/>
            </w:pPr>
            <w:r>
              <w:rPr>
                <w:sz w:val="18"/>
                <w:szCs w:val="18"/>
              </w:rPr>
              <w:t xml:space="preserve">Laptop</w:t>
            </w:r>
          </w:p>
        </w:tc>
        <w:tc>
          <w:tcPr/>
          <w:p w14:paraId="0000002d">
            <w:pPr>
              <w:rPr/>
            </w:pPr>
            <w:r>
              <w:rPr>
                <w:sz w:val="18"/>
                <w:szCs w:val="18"/>
              </w:rPr>
              <w:t xml:space="preserve">SN-DELL-2024-001</w:t>
            </w:r>
          </w:p>
        </w:tc>
        <w:tc>
          <w:tcPr/>
          <w:p w14:paraId="0000002e">
            <w:pPr>
              <w:rPr/>
            </w:pPr>
            <w:r>
              <w:rPr>
                <w:sz w:val="18"/>
                <w:szCs w:val="18"/>
              </w:rPr>
              <w:t xml:space="preserve">512 GB SSD</w:t>
            </w:r>
          </w:p>
        </w:tc>
      </w:tr>
      <w:tr>
        <w:trPr/>
        <w:tc>
          <w:tcPr/>
          <w:p w14:paraId="0000002f">
            <w:pPr>
              <w:rPr/>
            </w:pPr>
            <w:r>
              <w:rPr>
                <w:sz w:val="18"/>
                <w:szCs w:val="18"/>
              </w:rPr>
              <w:t xml:space="preserve">E002</w:t>
            </w:r>
          </w:p>
        </w:tc>
        <w:tc>
          <w:tcPr/>
          <w:p w14:paraId="00000030">
            <w:pPr>
              <w:rPr/>
            </w:pPr>
            <w:r>
              <w:rPr>
                <w:sz w:val="18"/>
                <w:szCs w:val="18"/>
              </w:rPr>
              <w:t xml:space="preserve">Samsung Galaxy S23 smartphone</w:t>
            </w:r>
          </w:p>
        </w:tc>
        <w:tc>
          <w:tcPr/>
          <w:p w14:paraId="00000031">
            <w:pPr>
              <w:rPr/>
            </w:pPr>
            <w:r>
              <w:rPr>
                <w:sz w:val="18"/>
                <w:szCs w:val="18"/>
              </w:rPr>
              <w:t xml:space="preserve">Mobile Phone</w:t>
            </w:r>
          </w:p>
        </w:tc>
        <w:tc>
          <w:tcPr/>
          <w:p w14:paraId="00000032">
            <w:pPr>
              <w:rPr/>
            </w:pPr>
            <w:r>
              <w:rPr>
                <w:sz w:val="18"/>
                <w:szCs w:val="18"/>
              </w:rPr>
              <w:t xml:space="preserve">IMEI-123456789012345</w:t>
            </w:r>
          </w:p>
        </w:tc>
        <w:tc>
          <w:tcPr/>
          <w:p w14:paraId="00000033">
            <w:pPr>
              <w:rPr/>
            </w:pPr>
            <w:r>
              <w:rPr>
                <w:sz w:val="18"/>
                <w:szCs w:val="18"/>
              </w:rPr>
              <w:t xml:space="preserve">256 GB</w:t>
            </w:r>
          </w:p>
        </w:tc>
      </w:tr>
    </w:tbl>
    <w:p w14:paraId="00000034">
      <w:pPr>
        <w:rPr/>
      </w:pPr>
    </w:p>
    <w:p w14:paraId="00000035">
      <w:pPr>
        <w:rPr/>
      </w:pPr>
      <w:r>
        <w:rPr>
          <w:sz w:val="28"/>
          <w:szCs w:val="28"/>
          <w:b/>
          <w:bCs/>
        </w:rPr>
        <w:t xml:space="preserve">Findings</w:t>
      </w:r>
    </w:p>
    <w:p w14:paraId="00000036">
      <w:pPr>
        <w:rPr/>
      </w:pPr>
      <w:r>
        <w:rPr>
          <w:sz w:val="22"/>
          <w:szCs w:val="22"/>
          <w:b/>
          <w:bCs/>
        </w:rPr>
        <w:t xml:space="preserve">F001: Deleted Financial Documents Recovered</w:t>
      </w:r>
    </w:p>
    <w:p w14:paraId="00000037">
      <w:pPr>
        <w:rPr/>
      </w:pPr>
      <w:r>
        <w:rPr>
          <w:sz w:val="18"/>
          <w:szCs w:val="18"/>
          <w:i/>
          <w:iCs/>
        </w:rPr>
        <w:t xml:space="preserve">Severity: High | Category: Deleted Data</w:t>
      </w:r>
    </w:p>
    <w:p w14:paraId="00000038">
      <w:pPr>
        <w:rPr/>
      </w:pPr>
      <w:r>
        <w:rPr>
          <w:sz w:val="20"/>
          <w:szCs w:val="20"/>
        </w:rPr>
        <w:t xml:space="preserve">Analysis of unallocated space revealed 47 deleted Microsoft Excel spreadsheets containing financial records. These documents appear to have been deleted on 2025-12-15, approximately one week before the search warrant was executed. Document metadata indicates they were created by user 'JDoe'.</w:t>
      </w:r>
    </w:p>
    <w:p w14:paraId="00000039">
      <w:pPr>
        <w:rPr/>
      </w:pPr>
      <w:r>
        <w:rPr>
          <w:sz w:val="18"/>
          <w:szCs w:val="18"/>
          <w:b/>
          <w:bCs/>
        </w:rPr>
        <w:t xml:space="preserve">Related Files:</w:t>
      </w:r>
    </w:p>
    <w:p w14:paraId="0000003a">
      <w:pPr>
        <w:rPr/>
      </w:pPr>
      <w:r>
        <w:rPr>
          <w:sz w:val="18"/>
          <w:szCs w:val="18"/>
        </w:rPr>
        <w:t xml:space="preserve">• /Users/JDoe/Documents/Financials/Q4_2025_Report.xlsx</w:t>
      </w:r>
    </w:p>
    <w:p w14:paraId="0000003b">
      <w:pPr>
        <w:rPr/>
      </w:pPr>
      <w:r>
        <w:rPr>
          <w:sz w:val="18"/>
          <w:szCs w:val="18"/>
        </w:rPr>
        <w:t xml:space="preserve">• /Users/JDoe/Documents/Financials/Transactions_Dec.xlsx</w:t>
      </w:r>
    </w:p>
    <w:p w14:paraId="0000003c">
      <w:pPr>
        <w:rPr/>
      </w:pPr>
      <w:r>
        <w:rPr>
          <w:sz w:val="18"/>
          <w:szCs w:val="18"/>
          <w:b/>
          <w:bCs/>
        </w:rPr>
        <w:t xml:space="preserve">Notes: </w:t>
      </w:r>
      <w:r>
        <w:rPr>
          <w:sz w:val="18"/>
          <w:szCs w:val="18"/>
        </w:rPr>
        <w:t xml:space="preserve">Files recovered using signature-based carving from sectors 0x1A2B3C - 0x1A5F00</w:t>
      </w:r>
    </w:p>
    <w:p w14:paraId="0000003d">
      <w:pPr>
        <w:rPr/>
      </w:pPr>
    </w:p>
    <w:p w14:paraId="0000003e">
      <w:pPr>
        <w:rPr/>
      </w:pPr>
      <w:r>
        <w:rPr>
          <w:sz w:val="22"/>
          <w:szCs w:val="22"/>
          <w:b/>
          <w:bCs/>
        </w:rPr>
        <w:t xml:space="preserve">F002: Encrypted Communication Application</w:t>
      </w:r>
    </w:p>
    <w:p w14:paraId="0000003f">
      <w:pPr>
        <w:rPr/>
      </w:pPr>
      <w:r>
        <w:rPr>
          <w:sz w:val="18"/>
          <w:szCs w:val="18"/>
          <w:i/>
          <w:iCs/>
        </w:rPr>
        <w:t xml:space="preserve">Severity: Medium | Category: Communication</w:t>
      </w:r>
    </w:p>
    <w:p w14:paraId="00000040">
      <w:pPr>
        <w:rPr/>
      </w:pPr>
      <w:r>
        <w:rPr>
          <w:sz w:val="20"/>
          <w:szCs w:val="20"/>
        </w:rPr>
        <w:t xml:space="preserve">Signal messaging application was installed on both the laptop and mobile device. Message database was recovered from the mobile device backup. Analysis revealed communications with 3 contacts during the relevant time period.</w:t>
      </w:r>
    </w:p>
    <w:p w14:paraId="00000041">
      <w:pPr>
        <w:rPr/>
      </w:pPr>
    </w:p>
    <w:p w14:paraId="00000042">
      <w:pPr>
        <w:rPr/>
      </w:pPr>
      <w:r>
        <w:rPr>
          <w:sz w:val="22"/>
          <w:szCs w:val="22"/>
          <w:b/>
          <w:bCs/>
        </w:rPr>
        <w:t xml:space="preserve">F003: Browser History Analysis</w:t>
      </w:r>
    </w:p>
    <w:p w14:paraId="00000043">
      <w:pPr>
        <w:rPr/>
      </w:pPr>
      <w:r>
        <w:rPr>
          <w:sz w:val="18"/>
          <w:szCs w:val="18"/>
          <w:i/>
          <w:iCs/>
        </w:rPr>
        <w:t xml:space="preserve">Severity: Low | Category: Internet History</w:t>
      </w:r>
    </w:p>
    <w:p w14:paraId="00000044">
      <w:pPr>
        <w:rPr/>
      </w:pPr>
      <w:r>
        <w:rPr>
          <w:sz w:val="20"/>
          <w:szCs w:val="20"/>
        </w:rPr>
        <w:t xml:space="preserve">Chrome browser history shows searches related to 'how to permanently delete files' and 'forensic file recovery' on 2025-12-14, the day before the deleted documents were removed.</w:t>
      </w:r>
    </w:p>
    <w:p w14:paraId="00000045">
      <w:pPr>
        <w:rPr/>
      </w:pPr>
      <w:r>
        <w:rPr>
          <w:sz w:val="18"/>
          <w:szCs w:val="18"/>
          <w:b/>
          <w:bCs/>
        </w:rPr>
        <w:t xml:space="preserve">Related Files:</w:t>
      </w:r>
    </w:p>
    <w:p w14:paraId="00000046">
      <w:pPr>
        <w:rPr/>
      </w:pPr>
      <w:r>
        <w:rPr>
          <w:sz w:val="18"/>
          <w:szCs w:val="18"/>
        </w:rPr>
        <w:t xml:space="preserve">• /Users/JDoe/AppData/Local/Google/Chrome/User Data/Default/History</w:t>
      </w:r>
    </w:p>
    <w:p w14:paraId="00000047">
      <w:pPr>
        <w:rPr/>
      </w:pPr>
    </w:p>
    <w:p w14:paraId="00000048">
      <w:pPr>
        <w:rPr/>
      </w:pPr>
      <w:r>
        <w:rPr>
          <w:sz w:val="28"/>
          <w:szCs w:val="28"/>
          <w:b/>
          <w:bCs/>
        </w:rPr>
        <w:t xml:space="preserve">Timeline of Events</w:t>
      </w:r>
    </w:p>
    <w:tbl>
      <w:tblPr>
        <w:tblW w:w="0" w:type="auto"/>
        <w:jc w:val="lef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tr>
        <w:trPr/>
        <w:tc>
          <w:tcPr>
            <w:shd w:val="clear" w:color="auto" w:fill="1a365d"/>
          </w:tcPr>
          <w:p w14:paraId="00000049">
            <w:pPr>
              <w:rPr/>
            </w:pPr>
            <w:r>
              <w:rPr>
                <w:sz w:val="18"/>
                <w:szCs w:val="18"/>
                <w:b/>
                <w:bCs/>
              </w:rPr>
              <w:t xml:space="preserve">Timestamp</w:t>
            </w:r>
          </w:p>
        </w:tc>
        <w:tc>
          <w:tcPr>
            <w:shd w:val="clear" w:color="auto" w:fill="1a365d"/>
          </w:tcPr>
          <w:p w14:paraId="0000004a">
            <w:pPr>
              <w:rPr/>
            </w:pPr>
            <w:r>
              <w:rPr>
                <w:sz w:val="18"/>
                <w:szCs w:val="18"/>
                <w:b/>
                <w:bCs/>
              </w:rPr>
              <w:t xml:space="preserve">Type</w:t>
            </w:r>
          </w:p>
        </w:tc>
        <w:tc>
          <w:tcPr>
            <w:shd w:val="clear" w:color="auto" w:fill="1a365d"/>
          </w:tcPr>
          <w:p w14:paraId="0000004b">
            <w:pPr>
              <w:rPr/>
            </w:pPr>
            <w:r>
              <w:rPr>
                <w:sz w:val="18"/>
                <w:szCs w:val="18"/>
                <w:b/>
                <w:bCs/>
              </w:rPr>
              <w:t xml:space="preserve">Description</w:t>
            </w:r>
          </w:p>
        </w:tc>
        <w:tc>
          <w:tcPr>
            <w:shd w:val="clear" w:color="auto" w:fill="1a365d"/>
          </w:tcPr>
          <w:p w14:paraId="0000004c">
            <w:pPr>
              <w:rPr/>
            </w:pPr>
            <w:r>
              <w:rPr>
                <w:sz w:val="18"/>
                <w:szCs w:val="18"/>
                <w:b/>
                <w:bCs/>
              </w:rPr>
              <w:t xml:space="preserve">Source</w:t>
            </w:r>
          </w:p>
        </w:tc>
      </w:tr>
      <w:tr>
        <w:trPr/>
        <w:tc>
          <w:tcPr/>
          <w:p w14:paraId="0000004d">
            <w:pPr>
              <w:rPr/>
            </w:pPr>
            <w:r>
              <w:rPr>
                <w:sz w:val="18"/>
                <w:szCs w:val="18"/>
              </w:rPr>
              <w:t xml:space="preserve">2026-01-04 04:19:50</w:t>
            </w:r>
          </w:p>
        </w:tc>
        <w:tc>
          <w:tcPr/>
          <w:p w14:paraId="0000004e">
            <w:pPr>
              <w:rPr/>
            </w:pPr>
            <w:r>
              <w:rPr>
                <w:sz w:val="18"/>
                <w:szCs w:val="18"/>
              </w:rPr>
              <w:t xml:space="preserve">File Creation</w:t>
            </w:r>
          </w:p>
        </w:tc>
        <w:tc>
          <w:tcPr/>
          <w:p w14:paraId="0000004f">
            <w:pPr>
              <w:rPr/>
            </w:pPr>
            <w:r>
              <w:rPr>
                <w:sz w:val="18"/>
                <w:szCs w:val="18"/>
              </w:rPr>
              <w:t xml:space="preserve">Q4 Financial Report created</w:t>
            </w:r>
          </w:p>
        </w:tc>
        <w:tc>
          <w:tcPr/>
          <w:p w14:paraId="00000050">
            <w:pPr>
              <w:rPr/>
            </w:pPr>
            <w:r>
              <w:rPr>
                <w:sz w:val="18"/>
                <w:szCs w:val="18"/>
              </w:rPr>
              <w:t xml:space="preserve">NTFS $MFT</w:t>
            </w:r>
          </w:p>
        </w:tc>
      </w:tr>
      <w:tr>
        <w:trPr/>
        <w:tc>
          <w:tcPr/>
          <w:p w14:paraId="00000051">
            <w:pPr>
              <w:rPr/>
            </w:pPr>
            <w:r>
              <w:rPr>
                <w:sz w:val="18"/>
                <w:szCs w:val="18"/>
              </w:rPr>
              <w:t xml:space="preserve">2026-01-04 04:19:50</w:t>
            </w:r>
          </w:p>
        </w:tc>
        <w:tc>
          <w:tcPr/>
          <w:p w14:paraId="00000052">
            <w:pPr>
              <w:rPr/>
            </w:pPr>
            <w:r>
              <w:rPr>
                <w:sz w:val="18"/>
                <w:szCs w:val="18"/>
              </w:rPr>
              <w:t xml:space="preserve">Web Search</w:t>
            </w:r>
          </w:p>
        </w:tc>
        <w:tc>
          <w:tcPr/>
          <w:p w14:paraId="00000053">
            <w:pPr>
              <w:rPr/>
            </w:pPr>
            <w:r>
              <w:rPr>
                <w:sz w:val="18"/>
                <w:szCs w:val="18"/>
              </w:rPr>
              <w:t xml:space="preserve">Search: 'how to permanently delete files'</w:t>
            </w:r>
          </w:p>
        </w:tc>
        <w:tc>
          <w:tcPr/>
          <w:p w14:paraId="00000054">
            <w:pPr>
              <w:rPr/>
            </w:pPr>
            <w:r>
              <w:rPr>
                <w:sz w:val="18"/>
                <w:szCs w:val="18"/>
              </w:rPr>
              <w:t xml:space="preserve">Chrome History</w:t>
            </w:r>
          </w:p>
        </w:tc>
      </w:tr>
      <w:tr>
        <w:trPr/>
        <w:tc>
          <w:tcPr/>
          <w:p w14:paraId="00000055">
            <w:pPr>
              <w:rPr/>
            </w:pPr>
            <w:r>
              <w:rPr>
                <w:sz w:val="18"/>
                <w:szCs w:val="18"/>
              </w:rPr>
              <w:t xml:space="preserve">2026-01-04 04:19:50</w:t>
            </w:r>
          </w:p>
        </w:tc>
        <w:tc>
          <w:tcPr/>
          <w:p w14:paraId="00000056">
            <w:pPr>
              <w:rPr/>
            </w:pPr>
            <w:r>
              <w:rPr>
                <w:sz w:val="18"/>
                <w:szCs w:val="18"/>
              </w:rPr>
              <w:t xml:space="preserve">File Deletion</w:t>
            </w:r>
          </w:p>
        </w:tc>
        <w:tc>
          <w:tcPr/>
          <w:p w14:paraId="00000057">
            <w:pPr>
              <w:rPr/>
            </w:pPr>
            <w:r>
              <w:rPr>
                <w:sz w:val="18"/>
                <w:szCs w:val="18"/>
              </w:rPr>
              <w:t xml:space="preserve">47 Excel files deleted from Documents folder</w:t>
            </w:r>
          </w:p>
        </w:tc>
        <w:tc>
          <w:tcPr/>
          <w:p w14:paraId="00000058">
            <w:pPr>
              <w:rPr/>
            </w:pPr>
            <w:r>
              <w:rPr>
                <w:sz w:val="18"/>
                <w:szCs w:val="18"/>
              </w:rPr>
              <w:t xml:space="preserve">NTFS $MFT / $UsnJrnl</w:t>
            </w:r>
          </w:p>
        </w:tc>
      </w:tr>
    </w:tbl>
    <w:p w14:paraId="00000059">
      <w:pPr>
        <w:rPr/>
      </w:pPr>
    </w:p>
    <w:p w14:paraId="0000005a">
      <w:pPr>
        <w:rPr/>
      </w:pPr>
      <w:r>
        <w:rPr>
          <w:sz w:val="28"/>
          <w:szCs w:val="28"/>
          <w:b/>
          <w:bCs/>
        </w:rPr>
        <w:t xml:space="preserve">Tools Used</w:t>
      </w:r>
    </w:p>
    <w:tbl>
      <w:tblPr>
        <w:tblW w:w="0" w:type="auto"/>
        <w:jc w:val="lef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tr>
        <w:trPr/>
        <w:tc>
          <w:tcPr>
            <w:shd w:val="clear" w:color="auto" w:fill="1a365d"/>
          </w:tcPr>
          <w:p w14:paraId="0000005b">
            <w:pPr>
              <w:rPr/>
            </w:pPr>
            <w:r>
              <w:rPr>
                <w:sz w:val="18"/>
                <w:szCs w:val="18"/>
                <w:b/>
                <w:bCs/>
              </w:rPr>
              <w:t xml:space="preserve">Tool</w:t>
            </w:r>
          </w:p>
        </w:tc>
        <w:tc>
          <w:tcPr>
            <w:shd w:val="clear" w:color="auto" w:fill="1a365d"/>
          </w:tcPr>
          <w:p w14:paraId="0000005c">
            <w:pPr>
              <w:rPr/>
            </w:pPr>
            <w:r>
              <w:rPr>
                <w:sz w:val="18"/>
                <w:szCs w:val="18"/>
                <w:b/>
                <w:bCs/>
              </w:rPr>
              <w:t xml:space="preserve">Version</w:t>
            </w:r>
          </w:p>
        </w:tc>
        <w:tc>
          <w:tcPr>
            <w:shd w:val="clear" w:color="auto" w:fill="1a365d"/>
          </w:tcPr>
          <w:p w14:paraId="0000005d">
            <w:pPr>
              <w:rPr/>
            </w:pPr>
            <w:r>
              <w:rPr>
                <w:sz w:val="18"/>
                <w:szCs w:val="18"/>
                <w:b/>
                <w:bCs/>
              </w:rPr>
              <w:t xml:space="preserve">Vendor</w:t>
            </w:r>
          </w:p>
        </w:tc>
        <w:tc>
          <w:tcPr>
            <w:shd w:val="clear" w:color="auto" w:fill="1a365d"/>
          </w:tcPr>
          <w:p w14:paraId="0000005e">
            <w:pPr>
              <w:rPr/>
            </w:pPr>
            <w:r>
              <w:rPr>
                <w:sz w:val="18"/>
                <w:szCs w:val="18"/>
                <w:b/>
                <w:bCs/>
              </w:rPr>
              <w:t xml:space="preserve">Purpose</w:t>
            </w:r>
          </w:p>
        </w:tc>
      </w:tr>
      <w:tr>
        <w:trPr/>
        <w:tc>
          <w:tcPr/>
          <w:p w14:paraId="0000005f">
            <w:pPr>
              <w:rPr/>
            </w:pPr>
            <w:r>
              <w:rPr>
                <w:sz w:val="18"/>
                <w:szCs w:val="18"/>
              </w:rPr>
              <w:t xml:space="preserve">FTK Imager</w:t>
            </w:r>
          </w:p>
        </w:tc>
        <w:tc>
          <w:tcPr/>
          <w:p w14:paraId="00000060">
            <w:pPr>
              <w:rPr/>
            </w:pPr>
            <w:r>
              <w:rPr>
                <w:sz w:val="18"/>
                <w:szCs w:val="18"/>
              </w:rPr>
              <w:t xml:space="preserve">4.7.1.2</w:t>
            </w:r>
          </w:p>
        </w:tc>
        <w:tc>
          <w:tcPr/>
          <w:p w14:paraId="00000061">
            <w:pPr>
              <w:rPr/>
            </w:pPr>
            <w:r>
              <w:rPr>
                <w:sz w:val="18"/>
                <w:szCs w:val="18"/>
              </w:rPr>
              <w:t xml:space="preserve">Exterro</w:t>
            </w:r>
          </w:p>
        </w:tc>
        <w:tc>
          <w:tcPr/>
          <w:p w14:paraId="00000062">
            <w:pPr>
              <w:rPr/>
            </w:pPr>
            <w:r>
              <w:rPr>
                <w:sz w:val="18"/>
                <w:szCs w:val="18"/>
              </w:rPr>
              <w:t xml:space="preserve">Forensic imaging and hash verification</w:t>
            </w:r>
          </w:p>
        </w:tc>
      </w:tr>
      <w:tr>
        <w:trPr/>
        <w:tc>
          <w:tcPr/>
          <w:p w14:paraId="00000063">
            <w:pPr>
              <w:rPr/>
            </w:pPr>
            <w:r>
              <w:rPr>
                <w:sz w:val="18"/>
                <w:szCs w:val="18"/>
              </w:rPr>
              <w:t xml:space="preserve">EnCase Forensic</w:t>
            </w:r>
          </w:p>
        </w:tc>
        <w:tc>
          <w:tcPr/>
          <w:p w14:paraId="00000064">
            <w:pPr>
              <w:rPr/>
            </w:pPr>
            <w:r>
              <w:rPr>
                <w:sz w:val="18"/>
                <w:szCs w:val="18"/>
              </w:rPr>
              <w:t xml:space="preserve">23.4</w:t>
            </w:r>
          </w:p>
        </w:tc>
        <w:tc>
          <w:tcPr/>
          <w:p w14:paraId="00000065">
            <w:pPr>
              <w:rPr/>
            </w:pPr>
            <w:r>
              <w:rPr>
                <w:sz w:val="18"/>
                <w:szCs w:val="18"/>
              </w:rPr>
              <w:t xml:space="preserve">OpenText</w:t>
            </w:r>
          </w:p>
        </w:tc>
        <w:tc>
          <w:tcPr/>
          <w:p w14:paraId="00000066">
            <w:pPr>
              <w:rPr/>
            </w:pPr>
            <w:r>
              <w:rPr>
                <w:sz w:val="18"/>
                <w:szCs w:val="18"/>
              </w:rPr>
              <w:t xml:space="preserve">Evidence analysis and artifact extraction</w:t>
            </w:r>
          </w:p>
        </w:tc>
      </w:tr>
      <w:tr>
        <w:trPr/>
        <w:tc>
          <w:tcPr/>
          <w:p w14:paraId="00000067">
            <w:pPr>
              <w:rPr/>
            </w:pPr>
            <w:r>
              <w:rPr>
                <w:sz w:val="18"/>
                <w:szCs w:val="18"/>
              </w:rPr>
              <w:t xml:space="preserve">FFX Forensic Toolkit</w:t>
            </w:r>
          </w:p>
        </w:tc>
        <w:tc>
          <w:tcPr/>
          <w:p w14:paraId="00000068">
            <w:pPr>
              <w:rPr/>
            </w:pPr>
            <w:r>
              <w:rPr>
                <w:sz w:val="18"/>
                <w:szCs w:val="18"/>
              </w:rPr>
              <w:t xml:space="preserve">0.1.0</w:t>
            </w:r>
          </w:p>
        </w:tc>
        <w:tc>
          <w:tcPr/>
          <w:p w14:paraId="00000069">
            <w:pPr>
              <w:rPr/>
            </w:pPr>
            <w:r>
              <w:rPr>
                <w:sz w:val="18"/>
                <w:szCs w:val="18"/>
              </w:rPr>
              <w:t xml:space="preserve">CORE Project</w:t>
            </w:r>
          </w:p>
        </w:tc>
        <w:tc>
          <w:tcPr/>
          <w:p w14:paraId="0000006a">
            <w:pPr>
              <w:rPr/>
            </w:pPr>
            <w:r>
              <w:rPr>
                <w:sz w:val="18"/>
                <w:szCs w:val="18"/>
              </w:rPr>
              <w:t xml:space="preserve">Report generation and timeline analysis</w:t>
            </w:r>
          </w:p>
        </w:tc>
      </w:tr>
    </w:tbl>
    <w:p w14:paraId="0000006b">
      <w:pPr>
        <w:rPr/>
      </w:pPr>
    </w:p>
    <w:p w14:paraId="0000006c">
      <w:pPr>
        <w:rPr/>
      </w:pPr>
      <w:r>
        <w:rPr>
          <w:sz w:val="28"/>
          <w:szCs w:val="28"/>
          <w:b/>
          <w:bCs/>
        </w:rPr>
        <w:t xml:space="preserve">Conclusions</w:t>
      </w:r>
    </w:p>
    <w:p w14:paraId="0000006d">
      <w:pPr>
        <w:rPr/>
      </w:pPr>
      <w:r>
        <w:rPr>
          <w:sz w:val="20"/>
          <w:szCs w:val="20"/>
        </w:rPr>
        <w:t xml:space="preserve">Based on the forensic examination of the submitted evidence, the following conclusions are supported:1. Financial documents were systematically deleted from the laptop computer approximately one week before the search warrant was executed.2. Internet search history indicates the user researched file deletion methods the day before the documents were removed.3. Encrypted communication applications were in use on both devices during the relevant time period.These findings are presented for investigative purposes and are subject to further analysis as needed.</w:t>
      </w:r>
    </w:p>
    <w:p w14:paraId="0000006e">
      <w:pPr>
        <w:rPr/>
      </w:pPr>
    </w:p>
    <w:p w14:paraId="0000006f">
      <w:pPr>
        <w:rPr/>
      </w:pPr>
    </w:p>
    <w:p w14:paraId="00000070">
      <w:pPr>
        <w:rPr/>
      </w:pPr>
    </w:p>
    <w:p w14:paraId="00000071">
      <w:pPr>
        <w:rPr/>
        <w:jc w:val="center"/>
      </w:pPr>
      <w:r>
        <w:rPr>
          <w:sz w:val="16"/>
          <w:szCs w:val="16"/>
        </w:rPr>
        <w:t xml:space="preserve">Generated by FFX Forensic Toolkit on 2026-01-04 04:19:50 UTC</w:t>
      </w:r>
    </w:p>
    <w:p w14:paraId="00000072">
      <w:pPr>
        <w:rPr/>
        <w:jc w:val="center"/>
      </w:pPr>
      <w:r>
        <w:rPr>
          <w:sz w:val="20"/>
          <w:szCs w:val="20"/>
          <w:b/>
          <w:bCs/>
        </w:rPr>
        <w:t xml:space="preserve">LAW ENFORCEMENT SENSITIVE</w:t>
      </w:r>
    </w:p>
    <w:sectPr>
      <w:pgSz w:w="11906" w:h="16838"/>
      <w:pgMar w:top="1985" w:right="1701" w:bottom="1701" w:left="1701" w:header="851" w:footer="992"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num w:numId="1">
    <w:abstractNumId w:val="1"/>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