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F506" w14:textId="472F5A82" w:rsidR="00804074" w:rsidRDefault="00804074" w:rsidP="00804074">
      <w:pPr>
        <w:spacing w:line="360" w:lineRule="auto"/>
        <w:jc w:val="center"/>
        <w:rPr>
          <w:b/>
          <w:bCs/>
        </w:rPr>
      </w:pPr>
      <w:r>
        <w:rPr>
          <w:b/>
          <w:bCs/>
        </w:rPr>
        <w:t>Estimatin</w:t>
      </w:r>
      <w:r w:rsidR="009970FF">
        <w:rPr>
          <w:b/>
          <w:bCs/>
        </w:rPr>
        <w:t>g</w:t>
      </w:r>
      <w:r w:rsidR="00CB6056">
        <w:rPr>
          <w:b/>
          <w:bCs/>
        </w:rPr>
        <w:t xml:space="preserve"> Breeding Values from Markers</w:t>
      </w:r>
    </w:p>
    <w:p w14:paraId="67F9EA26" w14:textId="77777777" w:rsidR="00804074" w:rsidRDefault="00804074" w:rsidP="00804074">
      <w:pPr>
        <w:jc w:val="center"/>
      </w:pPr>
      <w:r w:rsidRPr="00177612">
        <w:t>Jeffrey Endelman</w:t>
      </w:r>
    </w:p>
    <w:p w14:paraId="7998AF35" w14:textId="77777777" w:rsidR="00804074" w:rsidRPr="00177612" w:rsidRDefault="00804074" w:rsidP="00804074">
      <w:pPr>
        <w:jc w:val="center"/>
      </w:pPr>
      <w:proofErr w:type="spellStart"/>
      <w:r>
        <w:t>Agron</w:t>
      </w:r>
      <w:proofErr w:type="spellEnd"/>
      <w:r>
        <w:t>/</w:t>
      </w:r>
      <w:proofErr w:type="spellStart"/>
      <w:r>
        <w:t>Hort</w:t>
      </w:r>
      <w:proofErr w:type="spellEnd"/>
      <w:r>
        <w:t xml:space="preserve"> 812, Spring 2020</w:t>
      </w:r>
    </w:p>
    <w:p w14:paraId="745124B3" w14:textId="77777777" w:rsidR="00804074" w:rsidRDefault="00804074" w:rsidP="00804074">
      <w:pPr>
        <w:spacing w:line="360" w:lineRule="auto"/>
        <w:jc w:val="center"/>
        <w:rPr>
          <w:rFonts w:eastAsiaTheme="minorEastAsia"/>
          <w:b/>
          <w:iCs/>
        </w:rPr>
      </w:pPr>
    </w:p>
    <w:p w14:paraId="5C5CA577" w14:textId="2B3CBE74" w:rsidR="00CB6056" w:rsidRDefault="0071156F" w:rsidP="00562194">
      <w:pPr>
        <w:spacing w:line="360" w:lineRule="auto"/>
        <w:ind w:firstLine="72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T</w:t>
      </w:r>
      <w:r w:rsidR="00CB6056">
        <w:rPr>
          <w:rFonts w:eastAsiaTheme="minorEastAsia"/>
          <w:bCs/>
          <w:iCs/>
        </w:rPr>
        <w:t>he traditional approach to using genetic markers for selection</w:t>
      </w:r>
      <w:r>
        <w:rPr>
          <w:rFonts w:eastAsiaTheme="minorEastAsia"/>
          <w:bCs/>
          <w:iCs/>
        </w:rPr>
        <w:t xml:space="preserve"> involves two steps. In step one, QTL </w:t>
      </w:r>
      <w:r w:rsidR="00CB6056">
        <w:rPr>
          <w:rFonts w:eastAsiaTheme="minorEastAsia"/>
          <w:bCs/>
          <w:iCs/>
        </w:rPr>
        <w:t xml:space="preserve">mapping </w:t>
      </w:r>
      <w:r>
        <w:rPr>
          <w:rFonts w:eastAsiaTheme="minorEastAsia"/>
          <w:bCs/>
          <w:iCs/>
        </w:rPr>
        <w:t>is conducted to</w:t>
      </w:r>
      <w:r w:rsidR="00CB6056">
        <w:rPr>
          <w:rFonts w:eastAsiaTheme="minorEastAsia"/>
          <w:bCs/>
          <w:iCs/>
        </w:rPr>
        <w:t xml:space="preserve"> </w:t>
      </w:r>
      <w:r w:rsidR="00562194">
        <w:rPr>
          <w:rFonts w:eastAsiaTheme="minorEastAsia"/>
          <w:bCs/>
          <w:iCs/>
        </w:rPr>
        <w:t xml:space="preserve">identify significant markers. </w:t>
      </w:r>
      <w:r>
        <w:rPr>
          <w:rFonts w:eastAsiaTheme="minorEastAsia"/>
          <w:bCs/>
          <w:iCs/>
        </w:rPr>
        <w:t xml:space="preserve">In step two, </w:t>
      </w:r>
      <w:r w:rsidR="00D17E62">
        <w:rPr>
          <w:rFonts w:eastAsiaTheme="minorEastAsia"/>
          <w:bCs/>
          <w:iCs/>
        </w:rPr>
        <w:t xml:space="preserve">marker effects are estimated </w:t>
      </w:r>
      <w:r w:rsidR="00562194">
        <w:rPr>
          <w:rFonts w:eastAsiaTheme="minorEastAsia"/>
          <w:bCs/>
          <w:iCs/>
        </w:rPr>
        <w:t>based on multiple regression (</w:t>
      </w:r>
      <w:proofErr w:type="spellStart"/>
      <w:r w:rsidR="00562194">
        <w:rPr>
          <w:rFonts w:eastAsiaTheme="minorEastAsia"/>
          <w:bCs/>
          <w:iCs/>
        </w:rPr>
        <w:t>Lande</w:t>
      </w:r>
      <w:proofErr w:type="spellEnd"/>
      <w:r w:rsidR="00562194">
        <w:rPr>
          <w:rFonts w:eastAsiaTheme="minorEastAsia"/>
          <w:bCs/>
          <w:iCs/>
        </w:rPr>
        <w:t xml:space="preserve"> and Thompson 1990). Because of limited statistical power, however, not all of the QTL will be detected, and </w:t>
      </w:r>
      <w:r w:rsidR="00D17E62">
        <w:rPr>
          <w:rFonts w:eastAsiaTheme="minorEastAsia"/>
          <w:bCs/>
          <w:iCs/>
        </w:rPr>
        <w:t xml:space="preserve">thus </w:t>
      </w:r>
      <w:r w:rsidR="00562194">
        <w:rPr>
          <w:rFonts w:eastAsiaTheme="minorEastAsia"/>
          <w:bCs/>
          <w:iCs/>
        </w:rPr>
        <w:t xml:space="preserve">the effects of the significant markers tend to be overestimated (Beavis 1998).  </w:t>
      </w:r>
    </w:p>
    <w:p w14:paraId="4B52E864" w14:textId="46AA2AD4" w:rsidR="000F1A40" w:rsidRDefault="000F1A40" w:rsidP="00562194">
      <w:pPr>
        <w:spacing w:line="360" w:lineRule="auto"/>
        <w:ind w:firstLine="720"/>
        <w:rPr>
          <w:rFonts w:eastAsiaTheme="minorEastAsia"/>
          <w:bCs/>
          <w:iCs/>
        </w:rPr>
      </w:pPr>
    </w:p>
    <w:p w14:paraId="0939F371" w14:textId="0F3CE329" w:rsidR="000F1A40" w:rsidRDefault="000F1A40" w:rsidP="00596B37">
      <w:pPr>
        <w:spacing w:line="360" w:lineRule="auto"/>
        <w:rPr>
          <w:rFonts w:eastAsiaTheme="minorEastAsia"/>
          <w:bCs/>
          <w:iCs/>
        </w:rPr>
      </w:pPr>
      <w:r>
        <w:rPr>
          <w:rFonts w:ascii="Cambria" w:hAnsi="Cambria" w:cs="Times New Roman"/>
          <w:noProof/>
        </w:rPr>
        <w:drawing>
          <wp:inline distT="0" distB="0" distL="0" distR="0" wp14:anchorId="2DE35CB5" wp14:editId="3AA97C63">
            <wp:extent cx="5943600" cy="4032828"/>
            <wp:effectExtent l="0" t="0" r="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1"/>
                    <a:stretch/>
                  </pic:blipFill>
                  <pic:spPr bwMode="auto">
                    <a:xfrm>
                      <a:off x="0" y="0"/>
                      <a:ext cx="5943600" cy="403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B47AB" w14:textId="77777777" w:rsidR="000F1A40" w:rsidRDefault="000F1A40" w:rsidP="00E408DA">
      <w:pPr>
        <w:spacing w:line="360" w:lineRule="auto"/>
        <w:ind w:firstLine="720"/>
        <w:rPr>
          <w:rFonts w:eastAsiaTheme="minorEastAsia"/>
          <w:bCs/>
          <w:iCs/>
        </w:rPr>
      </w:pPr>
    </w:p>
    <w:p w14:paraId="2F249E20" w14:textId="77777777" w:rsidR="000F1A40" w:rsidRDefault="000F1A40" w:rsidP="00E408DA">
      <w:pPr>
        <w:spacing w:line="360" w:lineRule="auto"/>
        <w:ind w:firstLine="720"/>
        <w:rPr>
          <w:rFonts w:eastAsiaTheme="minorEastAsia"/>
          <w:bCs/>
          <w:iCs/>
        </w:rPr>
      </w:pPr>
    </w:p>
    <w:p w14:paraId="7CE1AC1B" w14:textId="77777777" w:rsidR="000F1A40" w:rsidRDefault="000F1A40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br w:type="page"/>
      </w:r>
    </w:p>
    <w:p w14:paraId="38105BCC" w14:textId="1F1A638A" w:rsidR="00F4766F" w:rsidRDefault="00562194" w:rsidP="000F1A40">
      <w:pPr>
        <w:spacing w:line="360" w:lineRule="auto"/>
        <w:ind w:firstLine="720"/>
        <w:rPr>
          <w:rFonts w:eastAsiaTheme="minorEastAsia"/>
          <w:bCs/>
          <w:iCs/>
        </w:rPr>
      </w:pPr>
      <w:proofErr w:type="spellStart"/>
      <w:r>
        <w:rPr>
          <w:rFonts w:eastAsiaTheme="minorEastAsia"/>
          <w:bCs/>
          <w:iCs/>
        </w:rPr>
        <w:lastRenderedPageBreak/>
        <w:t>Meuwissen</w:t>
      </w:r>
      <w:proofErr w:type="spellEnd"/>
      <w:r>
        <w:rPr>
          <w:rFonts w:eastAsiaTheme="minorEastAsia"/>
          <w:bCs/>
          <w:iCs/>
        </w:rPr>
        <w:t xml:space="preserve"> et al. (2001) popularized the idea of </w:t>
      </w:r>
      <w:r w:rsidR="00DE3104" w:rsidRPr="00DE3104">
        <w:rPr>
          <w:rFonts w:eastAsiaTheme="minorEastAsia"/>
          <w:b/>
          <w:iCs/>
        </w:rPr>
        <w:t>genomic selection</w:t>
      </w:r>
      <w:r w:rsidR="00DE3104">
        <w:rPr>
          <w:rFonts w:eastAsiaTheme="minorEastAsia"/>
          <w:bCs/>
          <w:iCs/>
        </w:rPr>
        <w:t xml:space="preserve">, in which </w:t>
      </w:r>
      <w:r>
        <w:rPr>
          <w:rFonts w:eastAsiaTheme="minorEastAsia"/>
          <w:bCs/>
          <w:iCs/>
        </w:rPr>
        <w:t xml:space="preserve">breeding value predictions </w:t>
      </w:r>
      <w:r w:rsidR="00D17E62">
        <w:rPr>
          <w:rFonts w:eastAsiaTheme="minorEastAsia"/>
          <w:bCs/>
          <w:iCs/>
        </w:rPr>
        <w:t xml:space="preserve">are made </w:t>
      </w:r>
      <w:r w:rsidRPr="00D17E62">
        <w:rPr>
          <w:rFonts w:eastAsiaTheme="minorEastAsia"/>
          <w:bCs/>
          <w:i/>
        </w:rPr>
        <w:t xml:space="preserve">without </w:t>
      </w:r>
      <w:r>
        <w:rPr>
          <w:rFonts w:eastAsiaTheme="minorEastAsia"/>
          <w:bCs/>
          <w:iCs/>
        </w:rPr>
        <w:t xml:space="preserve">the initial step of QTL mapping. The statistical paradigm </w:t>
      </w:r>
      <w:r w:rsidR="00DE3104">
        <w:rPr>
          <w:rFonts w:eastAsiaTheme="minorEastAsia"/>
          <w:bCs/>
          <w:iCs/>
        </w:rPr>
        <w:t xml:space="preserve">underlying this approach inverts classical ideas about which quantities are random vs. model parameters. In </w:t>
      </w:r>
      <w:r w:rsidR="00F4766F">
        <w:rPr>
          <w:rFonts w:eastAsiaTheme="minorEastAsia"/>
          <w:bCs/>
          <w:iCs/>
        </w:rPr>
        <w:t>classical quantitative genetics</w:t>
      </w:r>
      <w:r w:rsidR="00DE3104">
        <w:rPr>
          <w:rFonts w:eastAsiaTheme="minorEastAsia"/>
          <w:bCs/>
          <w:iCs/>
        </w:rPr>
        <w:t>,</w:t>
      </w:r>
      <w:r w:rsidR="00804074">
        <w:rPr>
          <w:rFonts w:eastAsiaTheme="minorEastAsia"/>
          <w:bCs/>
          <w:iCs/>
        </w:rPr>
        <w:t xml:space="preserve"> the genotypes a</w:t>
      </w:r>
      <w:r w:rsidR="00DE3104">
        <w:rPr>
          <w:rFonts w:eastAsiaTheme="minorEastAsia"/>
          <w:bCs/>
          <w:iCs/>
        </w:rPr>
        <w:t>re</w:t>
      </w:r>
      <w:r w:rsidR="00804074">
        <w:rPr>
          <w:rFonts w:eastAsiaTheme="minorEastAsia"/>
          <w:bCs/>
          <w:iCs/>
        </w:rPr>
        <w:t xml:space="preserve"> random variables and the additive effects a</w:t>
      </w:r>
      <w:r w:rsidR="00DE3104">
        <w:rPr>
          <w:rFonts w:eastAsiaTheme="minorEastAsia"/>
          <w:bCs/>
          <w:iCs/>
        </w:rPr>
        <w:t>re model</w:t>
      </w:r>
      <w:r w:rsidR="00804074">
        <w:rPr>
          <w:rFonts w:eastAsiaTheme="minorEastAsia"/>
          <w:bCs/>
          <w:iCs/>
        </w:rPr>
        <w:t xml:space="preserve"> parameters. </w:t>
      </w:r>
      <w:r w:rsidR="00DE3104">
        <w:rPr>
          <w:rFonts w:eastAsiaTheme="minorEastAsia"/>
          <w:bCs/>
          <w:iCs/>
        </w:rPr>
        <w:t>For genomic selection</w:t>
      </w:r>
      <w:r w:rsidR="00804074">
        <w:rPr>
          <w:rFonts w:eastAsiaTheme="minorEastAsia"/>
          <w:bCs/>
          <w:iCs/>
        </w:rPr>
        <w:t xml:space="preserve">, </w:t>
      </w:r>
      <w:r w:rsidR="00DE3104">
        <w:rPr>
          <w:rFonts w:eastAsiaTheme="minorEastAsia"/>
          <w:bCs/>
          <w:iCs/>
        </w:rPr>
        <w:t xml:space="preserve">the </w:t>
      </w:r>
      <w:r w:rsidR="00804074">
        <w:rPr>
          <w:rFonts w:eastAsiaTheme="minorEastAsia"/>
          <w:bCs/>
          <w:iCs/>
        </w:rPr>
        <w:t>marker genotypes are</w:t>
      </w:r>
      <w:r w:rsidR="00DE3104">
        <w:rPr>
          <w:rFonts w:eastAsiaTheme="minorEastAsia"/>
          <w:bCs/>
          <w:iCs/>
        </w:rPr>
        <w:t xml:space="preserve"> model parameters, and </w:t>
      </w:r>
      <w:r w:rsidR="00804074">
        <w:rPr>
          <w:rFonts w:eastAsiaTheme="minorEastAsia"/>
          <w:bCs/>
          <w:iCs/>
        </w:rPr>
        <w:t>the marker effects</w:t>
      </w:r>
      <w:r w:rsidR="00DE3104">
        <w:rPr>
          <w:rFonts w:eastAsiaTheme="minorEastAsia"/>
          <w:bCs/>
          <w:iCs/>
        </w:rPr>
        <w:t xml:space="preserve"> are </w:t>
      </w:r>
      <w:proofErr w:type="spellStart"/>
      <w:r w:rsidR="00DE3104">
        <w:rPr>
          <w:rFonts w:eastAsiaTheme="minorEastAsia"/>
          <w:bCs/>
          <w:iCs/>
        </w:rPr>
        <w:t>i.i.d</w:t>
      </w:r>
      <w:proofErr w:type="spellEnd"/>
      <w:r w:rsidR="00DE3104">
        <w:rPr>
          <w:rFonts w:eastAsiaTheme="minorEastAsia"/>
          <w:bCs/>
          <w:iCs/>
        </w:rPr>
        <w:t>. random effects</w:t>
      </w:r>
      <w:r w:rsidR="00804074">
        <w:rPr>
          <w:rFonts w:eastAsiaTheme="minorEastAsia"/>
          <w:bCs/>
          <w:iCs/>
        </w:rPr>
        <w:t xml:space="preserve">. </w:t>
      </w:r>
      <w:r w:rsidR="00E408DA">
        <w:rPr>
          <w:rFonts w:eastAsiaTheme="minorEastAsia"/>
          <w:bCs/>
          <w:iCs/>
        </w:rPr>
        <w:t>On a practical level, m</w:t>
      </w:r>
      <w:r w:rsidR="00F06077">
        <w:rPr>
          <w:rFonts w:eastAsiaTheme="minorEastAsia"/>
          <w:bCs/>
          <w:iCs/>
        </w:rPr>
        <w:t xml:space="preserve">any studies have shown that </w:t>
      </w:r>
      <w:r w:rsidR="0071156F">
        <w:rPr>
          <w:rFonts w:eastAsiaTheme="minorEastAsia"/>
          <w:bCs/>
          <w:iCs/>
        </w:rPr>
        <w:t xml:space="preserve">genomic selection </w:t>
      </w:r>
      <w:r w:rsidR="00F06077">
        <w:rPr>
          <w:rFonts w:eastAsiaTheme="minorEastAsia"/>
          <w:bCs/>
          <w:iCs/>
        </w:rPr>
        <w:t xml:space="preserve">leads to more accurate predictions compared </w:t>
      </w:r>
      <w:r w:rsidR="0071156F">
        <w:rPr>
          <w:rFonts w:eastAsiaTheme="minorEastAsia"/>
          <w:bCs/>
          <w:iCs/>
        </w:rPr>
        <w:t xml:space="preserve">to the </w:t>
      </w:r>
      <w:r w:rsidR="00D17E62">
        <w:rPr>
          <w:rFonts w:eastAsiaTheme="minorEastAsia"/>
          <w:bCs/>
          <w:iCs/>
        </w:rPr>
        <w:t>two-step approach (e.g., Heffner et al. 2011). (This</w:t>
      </w:r>
      <w:r w:rsidR="000F1A40">
        <w:rPr>
          <w:rFonts w:eastAsiaTheme="minorEastAsia"/>
          <w:bCs/>
          <w:iCs/>
        </w:rPr>
        <w:t xml:space="preserve"> result </w:t>
      </w:r>
      <w:r w:rsidR="00D17E62">
        <w:rPr>
          <w:rFonts w:eastAsiaTheme="minorEastAsia"/>
          <w:bCs/>
          <w:iCs/>
        </w:rPr>
        <w:t>mirrors similar developments in the broader field of statistics.)</w:t>
      </w:r>
      <w:r w:rsidR="00E408DA">
        <w:rPr>
          <w:rFonts w:eastAsiaTheme="minorEastAsia"/>
          <w:bCs/>
          <w:iCs/>
        </w:rPr>
        <w:t xml:space="preserve"> From a theoretical point of view, however, interpreting the variances and predictions </w:t>
      </w:r>
      <w:r w:rsidR="00F821CF">
        <w:rPr>
          <w:rFonts w:eastAsiaTheme="minorEastAsia"/>
          <w:bCs/>
          <w:iCs/>
        </w:rPr>
        <w:t xml:space="preserve">in </w:t>
      </w:r>
      <w:r w:rsidR="00E408DA">
        <w:rPr>
          <w:rFonts w:eastAsiaTheme="minorEastAsia"/>
          <w:bCs/>
          <w:iCs/>
        </w:rPr>
        <w:t>a genomic selection model, especially in relation to classical quantitative genetic concepts, is not straightforward.</w:t>
      </w:r>
    </w:p>
    <w:p w14:paraId="6655EB2D" w14:textId="77777777" w:rsidR="00F4766F" w:rsidRDefault="00F4766F" w:rsidP="000F1A40">
      <w:pPr>
        <w:spacing w:line="360" w:lineRule="auto"/>
        <w:rPr>
          <w:rFonts w:eastAsiaTheme="minorEastAsia"/>
          <w:bCs/>
          <w:iCs/>
        </w:rPr>
      </w:pPr>
    </w:p>
    <w:p w14:paraId="4A64A39A" w14:textId="7A44696A" w:rsidR="00F821CF" w:rsidRDefault="000F1A40" w:rsidP="00596B37">
      <w:pPr>
        <w:spacing w:line="360" w:lineRule="auto"/>
        <w:rPr>
          <w:rFonts w:eastAsiaTheme="minorEastAsia"/>
          <w:bCs/>
          <w:iCs/>
        </w:rPr>
      </w:pPr>
      <w:r>
        <w:rPr>
          <w:rFonts w:ascii="Cambria" w:eastAsiaTheme="minorEastAsia" w:hAnsi="Cambria" w:cs="Times New Roman"/>
          <w:b/>
          <w:noProof/>
        </w:rPr>
        <w:drawing>
          <wp:inline distT="0" distB="0" distL="0" distR="0" wp14:anchorId="2D8CFC53" wp14:editId="64C8EF68">
            <wp:extent cx="5273964" cy="41706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5" r="14545"/>
                    <a:stretch/>
                  </pic:blipFill>
                  <pic:spPr bwMode="auto">
                    <a:xfrm>
                      <a:off x="0" y="0"/>
                      <a:ext cx="5311462" cy="420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86705" w14:textId="77777777" w:rsidR="00F821CF" w:rsidRPr="00E408DA" w:rsidRDefault="00F821CF" w:rsidP="00E408DA">
      <w:pPr>
        <w:spacing w:line="360" w:lineRule="auto"/>
        <w:ind w:firstLine="720"/>
        <w:rPr>
          <w:rFonts w:eastAsiaTheme="minorEastAsia"/>
          <w:bCs/>
          <w:iCs/>
        </w:rPr>
      </w:pPr>
    </w:p>
    <w:p w14:paraId="4240319D" w14:textId="77777777" w:rsidR="00596B37" w:rsidRDefault="00596B37" w:rsidP="006065D8">
      <w:pPr>
        <w:spacing w:line="360" w:lineRule="auto"/>
        <w:rPr>
          <w:rFonts w:eastAsiaTheme="minorEastAsia"/>
          <w:b/>
          <w:iCs/>
        </w:rPr>
      </w:pPr>
    </w:p>
    <w:p w14:paraId="1109EAC1" w14:textId="1315B151" w:rsidR="00804074" w:rsidRPr="001210D0" w:rsidRDefault="001210D0" w:rsidP="006065D8">
      <w:pPr>
        <w:spacing w:line="360" w:lineRule="auto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lastRenderedPageBreak/>
        <w:t xml:space="preserve">Genomic Selection by </w:t>
      </w:r>
      <w:r w:rsidRPr="001210D0">
        <w:rPr>
          <w:rFonts w:eastAsiaTheme="minorEastAsia"/>
          <w:b/>
          <w:iCs/>
        </w:rPr>
        <w:t xml:space="preserve">BLUP </w:t>
      </w:r>
    </w:p>
    <w:p w14:paraId="447FA27D" w14:textId="1A36FFDA" w:rsidR="00684254" w:rsidRDefault="001855AA" w:rsidP="006065D8">
      <w:pPr>
        <w:spacing w:line="360" w:lineRule="auto"/>
        <w:rPr>
          <w:rFonts w:eastAsiaTheme="minorEastAsia"/>
          <w:iCs/>
        </w:rPr>
      </w:pPr>
      <w:r>
        <w:t xml:space="preserve">Let </w:t>
      </w:r>
      <w:r w:rsidR="006065D8">
        <w:rPr>
          <w:b/>
          <w:bCs/>
        </w:rPr>
        <w:t>Z</w:t>
      </w:r>
      <w:r>
        <w:t xml:space="preserve"> denote the </w:t>
      </w:r>
      <w:r w:rsidRPr="001855AA">
        <w:rPr>
          <w:i/>
          <w:iCs/>
        </w:rPr>
        <w:t>n</w:t>
      </w:r>
      <w:r>
        <w:t xml:space="preserve"> x </w:t>
      </w:r>
      <w:r w:rsidRPr="001855AA">
        <w:rPr>
          <w:i/>
          <w:iCs/>
        </w:rPr>
        <w:t>m</w:t>
      </w:r>
      <w:r>
        <w:t xml:space="preserve"> matrix of centered genotypes for </w:t>
      </w:r>
      <w:r w:rsidRPr="006065D8">
        <w:rPr>
          <w:i/>
          <w:iCs/>
        </w:rPr>
        <w:t>n</w:t>
      </w:r>
      <w:r>
        <w:t xml:space="preserve"> individuals, </w:t>
      </w:r>
      <w:r w:rsidRPr="006065D8">
        <w:rPr>
          <w:i/>
          <w:iCs/>
        </w:rPr>
        <w:t>m</w:t>
      </w:r>
      <w:r>
        <w:t xml:space="preserve"> markers. Let </w:t>
      </w:r>
      <w:r w:rsidRPr="001855AA">
        <w:rPr>
          <w:b/>
          <w:bCs/>
        </w:rPr>
        <w:t>a</w:t>
      </w:r>
      <w:r>
        <w:rPr>
          <w:b/>
          <w:bCs/>
        </w:rPr>
        <w:t xml:space="preserve"> </w:t>
      </w:r>
      <w:r>
        <w:t xml:space="preserve">denote </w:t>
      </w:r>
      <w:r w:rsidR="006065D8">
        <w:t xml:space="preserve">the </w:t>
      </w:r>
      <w:r w:rsidRPr="001855AA">
        <w:rPr>
          <w:i/>
          <w:iCs/>
        </w:rPr>
        <w:t>n</w:t>
      </w:r>
      <w:r>
        <w:t xml:space="preserve"> x 1 vector of additive </w:t>
      </w:r>
      <w:r w:rsidR="006065D8">
        <w:t xml:space="preserve">(i.e., breeding) </w:t>
      </w:r>
      <w:r>
        <w:t>value</w:t>
      </w:r>
      <w:r w:rsidR="006065D8">
        <w:t xml:space="preserve">s, and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6065D8">
        <w:rPr>
          <w:rFonts w:eastAsiaTheme="minorEastAsia"/>
          <w:b/>
          <w:bCs/>
          <w:iCs/>
        </w:rPr>
        <w:t xml:space="preserve"> </w:t>
      </w:r>
      <w:r w:rsidR="006065D8" w:rsidRPr="006065D8">
        <w:rPr>
          <w:rFonts w:eastAsiaTheme="minorEastAsia"/>
          <w:iCs/>
        </w:rPr>
        <w:t xml:space="preserve">is the </w:t>
      </w:r>
      <w:r w:rsidR="006065D8" w:rsidRPr="006065D8">
        <w:rPr>
          <w:rFonts w:eastAsiaTheme="minorEastAsia"/>
          <w:i/>
        </w:rPr>
        <w:t>m</w:t>
      </w:r>
      <w:r w:rsidR="006065D8">
        <w:rPr>
          <w:rFonts w:eastAsiaTheme="minorEastAsia"/>
          <w:iCs/>
        </w:rPr>
        <w:t xml:space="preserve"> x 1 vector of marker effects.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065D8" w14:paraId="77DCADF8" w14:textId="77777777" w:rsidTr="006065D8">
        <w:trPr>
          <w:trHeight w:val="666"/>
        </w:trPr>
        <w:tc>
          <w:tcPr>
            <w:tcW w:w="4675" w:type="dxa"/>
            <w:vAlign w:val="center"/>
          </w:tcPr>
          <w:p w14:paraId="260C5C24" w14:textId="77777777" w:rsidR="006065D8" w:rsidRPr="006065D8" w:rsidRDefault="006065D8" w:rsidP="006065D8">
            <w:pPr>
              <w:spacing w:line="360" w:lineRule="auto"/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Zβ</m:t>
                </m:r>
              </m:oMath>
            </m:oMathPara>
          </w:p>
          <w:p w14:paraId="6C2D0536" w14:textId="0718DCB4" w:rsidR="006065D8" w:rsidRPr="006065D8" w:rsidRDefault="006065D8" w:rsidP="006065D8">
            <w:pPr>
              <w:spacing w:line="360" w:lineRule="auto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14:paraId="162DD8A3" w14:textId="2CC77601" w:rsidR="006065D8" w:rsidRDefault="006065D8" w:rsidP="006065D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[1]</w:t>
            </w:r>
          </w:p>
        </w:tc>
      </w:tr>
    </w:tbl>
    <w:p w14:paraId="4B020DF5" w14:textId="304E6DD9" w:rsidR="006065D8" w:rsidRDefault="005D79AF" w:rsidP="006065D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From Eq. 1, </w:t>
      </w:r>
      <w:r w:rsidR="006065D8">
        <w:rPr>
          <w:rFonts w:eastAsiaTheme="minorEastAsia"/>
          <w:iCs/>
        </w:rPr>
        <w:t xml:space="preserve">the </w:t>
      </w:r>
      <w:r>
        <w:rPr>
          <w:rFonts w:eastAsiaTheme="minorEastAsia"/>
          <w:iCs/>
        </w:rPr>
        <w:t xml:space="preserve">variance of the breeding values is multivariate normal with covariance matrix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065D8" w14:paraId="74FA3B9D" w14:textId="77777777" w:rsidTr="00F508A2">
        <w:trPr>
          <w:trHeight w:val="666"/>
        </w:trPr>
        <w:tc>
          <w:tcPr>
            <w:tcW w:w="4675" w:type="dxa"/>
            <w:vAlign w:val="center"/>
          </w:tcPr>
          <w:p w14:paraId="2BA40118" w14:textId="101C6CC4" w:rsidR="006065D8" w:rsidRPr="005D79AF" w:rsidRDefault="006065D8" w:rsidP="00F508A2">
            <w:pPr>
              <w:spacing w:line="360" w:lineRule="auto"/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Z </m:t>
                </m:r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DCAB7CE" w14:textId="7EA8B11D" w:rsidR="006065D8" w:rsidRDefault="006065D8" w:rsidP="00F508A2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[2]</w:t>
            </w:r>
          </w:p>
        </w:tc>
      </w:tr>
    </w:tbl>
    <w:p w14:paraId="57022893" w14:textId="01C530AE" w:rsidR="006065D8" w:rsidRDefault="005D79AF" w:rsidP="006065D8">
      <w:pPr>
        <w:spacing w:line="360" w:lineRule="auto"/>
      </w:pPr>
      <w:r>
        <w:t xml:space="preserve">By analogy with the classical additive relationship model, we can define a marker-based relationship matrix </w:t>
      </w:r>
      <w:r w:rsidRPr="005D79AF">
        <w:rPr>
          <w:b/>
          <w:bCs/>
        </w:rPr>
        <w:t>A</w:t>
      </w:r>
      <w:r w:rsidRPr="005D79AF">
        <w:rPr>
          <w:i/>
          <w:iCs/>
          <w:vertAlign w:val="subscript"/>
        </w:rPr>
        <w:t>m</w:t>
      </w:r>
      <w:r>
        <w:t xml:space="preserve">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79AF" w14:paraId="486B3669" w14:textId="77777777" w:rsidTr="00F508A2">
        <w:trPr>
          <w:trHeight w:val="666"/>
        </w:trPr>
        <w:tc>
          <w:tcPr>
            <w:tcW w:w="4675" w:type="dxa"/>
            <w:vAlign w:val="center"/>
          </w:tcPr>
          <w:p w14:paraId="2D865096" w14:textId="41280240" w:rsidR="005D79AF" w:rsidRPr="005D79AF" w:rsidRDefault="00F6261C" w:rsidP="00F508A2">
            <w:pPr>
              <w:spacing w:line="360" w:lineRule="auto"/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4CE464A" w14:textId="00D0F3E3" w:rsidR="005D79AF" w:rsidRDefault="005D79AF" w:rsidP="00F508A2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</w:t>
            </w:r>
            <w:r w:rsidR="002D6CBD">
              <w:rPr>
                <w:rFonts w:eastAsiaTheme="minorEastAsia"/>
                <w:iCs/>
              </w:rPr>
              <w:t>3</w:t>
            </w:r>
            <w:r>
              <w:rPr>
                <w:rFonts w:eastAsiaTheme="minorEastAsia"/>
                <w:iCs/>
              </w:rPr>
              <w:t>]</w:t>
            </w:r>
          </w:p>
        </w:tc>
      </w:tr>
    </w:tbl>
    <w:p w14:paraId="2815704D" w14:textId="55B8DD6D" w:rsidR="005C4056" w:rsidRDefault="005C4056" w:rsidP="006065D8">
      <w:pPr>
        <w:spacing w:line="360" w:lineRule="auto"/>
      </w:pPr>
      <w:r>
        <w:t xml:space="preserve">In scalar notation, the relationship coefficient between individuals </w:t>
      </w:r>
      <w:proofErr w:type="spellStart"/>
      <w:r w:rsidRPr="005C4056">
        <w:rPr>
          <w:i/>
          <w:iCs/>
        </w:rPr>
        <w:t>i</w:t>
      </w:r>
      <w:proofErr w:type="spellEnd"/>
      <w:r>
        <w:t xml:space="preserve"> and </w:t>
      </w:r>
      <w:r w:rsidRPr="005C4056">
        <w:rPr>
          <w:i/>
          <w:iCs/>
        </w:rPr>
        <w:t>j</w:t>
      </w:r>
      <w:r>
        <w:t xml:space="preserve"> is </w:t>
      </w:r>
    </w:p>
    <w:p w14:paraId="30138CD2" w14:textId="388C440D" w:rsidR="005C4056" w:rsidRPr="005C4056" w:rsidRDefault="005C4056" w:rsidP="006065D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4A850DA3" w14:textId="4A160D63" w:rsidR="001855AA" w:rsidRDefault="002F3A13" w:rsidP="006065D8">
      <w:pPr>
        <w:spacing w:line="360" w:lineRule="auto"/>
      </w:pPr>
      <w:r>
        <w:t xml:space="preserve">In the literature,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has been called the realized relationship </w:t>
      </w:r>
      <w:r w:rsidR="0040014E">
        <w:t xml:space="preserve">or </w:t>
      </w:r>
      <w:r>
        <w:t xml:space="preserve">genomic relationship matrix, and the symbol </w:t>
      </w:r>
      <w:r w:rsidRPr="004A7240">
        <w:rPr>
          <w:b/>
          <w:bCs/>
        </w:rPr>
        <w:t>G</w:t>
      </w:r>
      <w:r w:rsidR="004A7240">
        <w:t xml:space="preserve"> is </w:t>
      </w:r>
      <w:r w:rsidR="005C4056">
        <w:t xml:space="preserve">also </w:t>
      </w:r>
      <w:r w:rsidR="004A7240">
        <w:t>commonly used</w:t>
      </w:r>
      <w:r w:rsidR="00401CE3">
        <w:t xml:space="preserve"> (which I dislike). </w:t>
      </w:r>
      <w:r w:rsidR="00596B37">
        <w:t>Unlike the pedigree relationship matrix, its entries are not nonnegative</w:t>
      </w:r>
      <w:r w:rsidR="00D21408">
        <w:t xml:space="preserve">, and </w:t>
      </w:r>
      <w:r w:rsidR="00596B37">
        <w:t>the individual diagonal elements</w:t>
      </w:r>
      <w:r w:rsidR="005C4056">
        <w:t xml:space="preserve"> cannot be interpreted as 1 plus the inbreeding coefficient</w:t>
      </w:r>
      <w:r w:rsidR="00D21408">
        <w:t>. However, t</w:t>
      </w:r>
      <w:r w:rsidR="00596B37">
        <w:t xml:space="preserve">he mean of the diagonal elements </w:t>
      </w:r>
      <w:r w:rsidR="005C4056">
        <w:t xml:space="preserve">provides information about the average level of </w:t>
      </w:r>
      <w:r w:rsidR="00596B37">
        <w:t xml:space="preserve">inbreeding </w:t>
      </w:r>
      <w:r w:rsidR="006230EE">
        <w:t xml:space="preserve">(Endelman and </w:t>
      </w:r>
      <w:proofErr w:type="spellStart"/>
      <w:r w:rsidR="006230EE">
        <w:t>Jannink</w:t>
      </w:r>
      <w:proofErr w:type="spellEnd"/>
      <w:r w:rsidR="006230EE">
        <w:t xml:space="preserve"> 2012).</w:t>
      </w:r>
      <w:r w:rsidR="00596B37">
        <w:t xml:space="preserve"> </w:t>
      </w:r>
    </w:p>
    <w:p w14:paraId="5A11B698" w14:textId="05297517" w:rsidR="0040014E" w:rsidRDefault="0040014E" w:rsidP="006065D8">
      <w:pPr>
        <w:spacing w:line="360" w:lineRule="auto"/>
      </w:pPr>
      <w:bookmarkStart w:id="0" w:name="_GoBack"/>
      <w:bookmarkEnd w:id="0"/>
    </w:p>
    <w:p w14:paraId="5034D00E" w14:textId="77777777" w:rsidR="00AA42B0" w:rsidRDefault="00AA42B0" w:rsidP="006065D8">
      <w:pPr>
        <w:spacing w:line="360" w:lineRule="auto"/>
      </w:pPr>
      <w:r>
        <w:t>The final expression in Eq. 3 implies the following definition for additive variance: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42B0" w14:paraId="6B9826CA" w14:textId="77777777" w:rsidTr="00596B37">
        <w:trPr>
          <w:trHeight w:val="1053"/>
        </w:trPr>
        <w:tc>
          <w:tcPr>
            <w:tcW w:w="4675" w:type="dxa"/>
            <w:vAlign w:val="center"/>
          </w:tcPr>
          <w:p w14:paraId="5736A881" w14:textId="0F7C63DE" w:rsidR="00AA42B0" w:rsidRPr="005D79AF" w:rsidRDefault="00F6261C" w:rsidP="00F508A2">
            <w:pPr>
              <w:spacing w:line="360" w:lineRule="auto"/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66EB4A8E" w14:textId="0BDCF301" w:rsidR="00AA42B0" w:rsidRDefault="00AA42B0" w:rsidP="00F508A2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[4]</w:t>
            </w:r>
          </w:p>
        </w:tc>
      </w:tr>
    </w:tbl>
    <w:p w14:paraId="597D5AA1" w14:textId="6A44CB6D" w:rsidR="009D7532" w:rsidRDefault="00AA247B" w:rsidP="009D7532">
      <w:pPr>
        <w:spacing w:line="360" w:lineRule="auto"/>
        <w:rPr>
          <w:rFonts w:eastAsiaTheme="minorEastAsia"/>
        </w:rPr>
      </w:pPr>
      <w:r>
        <w:t>T</w:t>
      </w:r>
      <w:r w:rsidR="009D7532">
        <w:t xml:space="preserve">his result </w:t>
      </w:r>
      <w:r>
        <w:t>can be derived by taking</w:t>
      </w:r>
      <w:r w:rsidR="009D7532">
        <w:rPr>
          <w:rFonts w:eastAsiaTheme="minorEastAsia"/>
        </w:rPr>
        <w:t xml:space="preserve"> the expectation of the breeding value with respect to the sampling of</w:t>
      </w:r>
      <w:r>
        <w:rPr>
          <w:rFonts w:eastAsiaTheme="minorEastAsia"/>
        </w:rPr>
        <w:t xml:space="preserve"> alleles </w:t>
      </w:r>
      <w:r w:rsidR="009D7532">
        <w:rPr>
          <w:rFonts w:eastAsiaTheme="minorEastAsia"/>
        </w:rPr>
        <w:t xml:space="preserve">(i.e., expectation in the classical quantitative genetic sense):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0"/>
      </w:tblGrid>
      <w:tr w:rsidR="009D7532" w14:paraId="219AEF6D" w14:textId="77777777" w:rsidTr="00596B37">
        <w:trPr>
          <w:trHeight w:val="1044"/>
        </w:trPr>
        <w:tc>
          <w:tcPr>
            <w:tcW w:w="8280" w:type="dxa"/>
            <w:vAlign w:val="center"/>
          </w:tcPr>
          <w:p w14:paraId="4EC6B58E" w14:textId="15DBA0AF" w:rsidR="009D7532" w:rsidRPr="005D79AF" w:rsidRDefault="009D7532" w:rsidP="00F508A2">
            <w:pPr>
              <w:spacing w:line="360" w:lineRule="auto"/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1070" w:type="dxa"/>
            <w:vAlign w:val="center"/>
          </w:tcPr>
          <w:p w14:paraId="382FECC4" w14:textId="5A1835BA" w:rsidR="009D7532" w:rsidRDefault="009D7532" w:rsidP="00F508A2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[5]</w:t>
            </w:r>
          </w:p>
        </w:tc>
      </w:tr>
    </w:tbl>
    <w:p w14:paraId="04A38E3C" w14:textId="119452BD" w:rsidR="00152D1B" w:rsidRDefault="00AA247B" w:rsidP="006065D8">
      <w:pPr>
        <w:spacing w:line="360" w:lineRule="auto"/>
      </w:pPr>
      <w:r>
        <w:lastRenderedPageBreak/>
        <w:t xml:space="preserve">Note that Eq. 4 expresses the additive variance as the sum of locus-specific variances. As discussed in the previous lecture, in the classic quantitative genetic framework, this is only possible when </w:t>
      </w:r>
      <w:r w:rsidR="00BF02DE">
        <w:t xml:space="preserve">the </w:t>
      </w:r>
      <w:r>
        <w:t xml:space="preserve">loci are in linkage equilibrium, which is not true with genome-wide markers. As a result, the </w:t>
      </w:r>
      <w:r w:rsidR="00722BE7">
        <w:t xml:space="preserve">connection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="00722BE7">
        <w:rPr>
          <w:rFonts w:eastAsiaTheme="minorEastAsia"/>
        </w:rPr>
        <w:t xml:space="preserve"> </w:t>
      </w:r>
      <w:r w:rsidR="00722BE7">
        <w:t xml:space="preserve">and the </w:t>
      </w:r>
      <w:r w:rsidR="00BF02DE">
        <w:t xml:space="preserve">traditional </w:t>
      </w:r>
      <w:r w:rsidR="00722BE7">
        <w:t xml:space="preserve">additive variance </w:t>
      </w:r>
      <w:r w:rsidR="00BF02DE">
        <w:t xml:space="preserve">(i.e., </w:t>
      </w:r>
      <w:r w:rsidR="00722BE7">
        <w:t>for the pedigree relationship model</w:t>
      </w:r>
      <w:r w:rsidR="00BF02DE">
        <w:t>)</w:t>
      </w:r>
      <w:r w:rsidR="00722BE7">
        <w:t xml:space="preserve"> is unclear.</w:t>
      </w:r>
    </w:p>
    <w:p w14:paraId="02FE0992" w14:textId="77777777" w:rsidR="00BF02DE" w:rsidRDefault="00BF02DE" w:rsidP="006065D8">
      <w:pPr>
        <w:spacing w:line="360" w:lineRule="auto"/>
      </w:pPr>
    </w:p>
    <w:p w14:paraId="7077C4CB" w14:textId="3D870A11" w:rsidR="00AA247B" w:rsidRDefault="00596B37" w:rsidP="006065D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6A9BE" wp14:editId="6664A126">
                <wp:simplePos x="0" y="0"/>
                <wp:positionH relativeFrom="column">
                  <wp:posOffset>1705610</wp:posOffset>
                </wp:positionH>
                <wp:positionV relativeFrom="paragraph">
                  <wp:posOffset>-196215</wp:posOffset>
                </wp:positionV>
                <wp:extent cx="1874982" cy="267854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982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00F57" w14:textId="02D42CBF" w:rsidR="00596B37" w:rsidRDefault="00596B37" w:rsidP="00596B37">
                            <w:pPr>
                              <w:jc w:val="center"/>
                            </w:pPr>
                            <w:r>
                              <w:t>de los Campos et al. (2015)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6A9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4.3pt;margin-top:-15.45pt;width:147.65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" fillcolor="white [3201]" stroked="f" strokeweight=".5pt">
                <v:textbox>
                  <w:txbxContent>
                    <w:p w14:paraId="26100F57" w14:textId="02D42CBF" w:rsidR="00596B37" w:rsidRDefault="00596B37" w:rsidP="00596B37">
                      <w:pPr>
                        <w:jc w:val="center"/>
                      </w:pPr>
                      <w:r>
                        <w:t>de los Campos et al. (2015)</w:t>
                      </w:r>
                    </w:p>
                  </w:txbxContent>
                </v:textbox>
              </v:shape>
            </w:pict>
          </mc:Fallback>
        </mc:AlternateContent>
      </w:r>
      <w:r w:rsidR="00722BE7">
        <w:t xml:space="preserve"> </w:t>
      </w:r>
      <w:r w:rsidRPr="00596B37">
        <w:rPr>
          <w:noProof/>
        </w:rPr>
        <w:drawing>
          <wp:inline distT="0" distB="0" distL="0" distR="0" wp14:anchorId="24BB4DDB" wp14:editId="40A6877A">
            <wp:extent cx="52832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129" w14:textId="233A42AE" w:rsidR="00596B37" w:rsidRDefault="00596B37" w:rsidP="006065D8">
      <w:pPr>
        <w:spacing w:line="360" w:lineRule="auto"/>
      </w:pPr>
    </w:p>
    <w:p w14:paraId="564455CB" w14:textId="3398423D" w:rsidR="006230EE" w:rsidRDefault="006230EE" w:rsidP="006065D8">
      <w:pPr>
        <w:spacing w:line="360" w:lineRule="auto"/>
      </w:pPr>
      <w:r>
        <w:t xml:space="preserve">When the additive values are included as random effects in the model, the methodology is known as </w:t>
      </w:r>
      <w:r w:rsidRPr="006230EE">
        <w:rPr>
          <w:b/>
          <w:bCs/>
        </w:rPr>
        <w:t>G-BLUP</w:t>
      </w:r>
      <w:r>
        <w:t xml:space="preserve">. When the marker effects are included as random effects, the methodology is known as </w:t>
      </w:r>
      <w:r w:rsidRPr="006230EE">
        <w:rPr>
          <w:b/>
          <w:bCs/>
        </w:rPr>
        <w:t>RR-BLUP</w:t>
      </w:r>
      <w:r>
        <w:t xml:space="preserve">. As shown above, the two methods </w:t>
      </w:r>
      <w:r w:rsidR="00CD7D9E">
        <w:t xml:space="preserve">lead to the same </w:t>
      </w:r>
      <w:r>
        <w:t>predictions</w:t>
      </w:r>
      <w:r w:rsidR="00CD7D9E">
        <w:t xml:space="preserve"> of </w:t>
      </w:r>
      <w:r w:rsidR="00CD7D9E" w:rsidRPr="00CD7D9E">
        <w:rPr>
          <w:b/>
          <w:bCs/>
        </w:rPr>
        <w:t>genomic-estimated breeding values</w:t>
      </w:r>
      <w:r w:rsidR="00CD7D9E">
        <w:t xml:space="preserve"> (GEBV).</w:t>
      </w:r>
      <w:r>
        <w:t xml:space="preserve"> </w:t>
      </w:r>
    </w:p>
    <w:p w14:paraId="7331DE25" w14:textId="5B24364A" w:rsidR="00CD7D9E" w:rsidRDefault="00CD7D9E" w:rsidP="006065D8">
      <w:pPr>
        <w:spacing w:line="360" w:lineRule="auto"/>
      </w:pPr>
    </w:p>
    <w:p w14:paraId="174390AC" w14:textId="67AA3E01" w:rsidR="00CD7D9E" w:rsidRDefault="00CD7D9E" w:rsidP="006065D8">
      <w:pPr>
        <w:spacing w:line="360" w:lineRule="auto"/>
      </w:pPr>
      <w:r>
        <w:lastRenderedPageBreak/>
        <w:t xml:space="preserve">It is useful to differentiate between making predictions for individuals with both phenotype and marker data vs. individuals with only marker data. The former is known as </w:t>
      </w:r>
      <w:r w:rsidRPr="00CD7D9E">
        <w:t xml:space="preserve">genome-wide </w:t>
      </w:r>
      <w:r w:rsidRPr="00CD7D9E">
        <w:rPr>
          <w:b/>
          <w:bCs/>
        </w:rPr>
        <w:t>marker-assisted</w:t>
      </w:r>
      <w:r w:rsidRPr="00CD7D9E">
        <w:t xml:space="preserve"> selection,</w:t>
      </w:r>
      <w:r>
        <w:t xml:space="preserve"> while the latter is genome-wide </w:t>
      </w:r>
      <w:r w:rsidRPr="00CD7D9E">
        <w:rPr>
          <w:b/>
          <w:bCs/>
        </w:rPr>
        <w:t>marker-based</w:t>
      </w:r>
      <w:r>
        <w:t xml:space="preserve"> selection. Both types of predictions can be made at the same time. For the G-BLUP method, </w:t>
      </w:r>
      <w:r w:rsidR="007C1C15">
        <w:t>GEBV are calculated</w:t>
      </w:r>
      <w:r>
        <w:t xml:space="preserve"> for any individual in the relationship matrix, regardless of whether phenotype data are available. For the RR-BLUP method, the estimated marker effects are multiplied by the centered marker genotypes to predict GEBV.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D7D9E" w14:paraId="18A148E3" w14:textId="77777777" w:rsidTr="00F508A2">
        <w:trPr>
          <w:trHeight w:val="1053"/>
        </w:trPr>
        <w:tc>
          <w:tcPr>
            <w:tcW w:w="4675" w:type="dxa"/>
            <w:vAlign w:val="center"/>
          </w:tcPr>
          <w:p w14:paraId="33ABD7A6" w14:textId="60C9B63F" w:rsidR="00CD7D9E" w:rsidRPr="00CD7D9E" w:rsidRDefault="007C1C15" w:rsidP="007C1C15">
            <w:pPr>
              <w:spacing w:line="360" w:lineRule="auto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iCs/>
              </w:rPr>
              <w:t xml:space="preserve">G-BLUP:    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GEBV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BLUP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</w:p>
          <w:p w14:paraId="27919FF8" w14:textId="6F95DF8E" w:rsidR="00CD7D9E" w:rsidRPr="00CD7D9E" w:rsidRDefault="007C1C15" w:rsidP="00F508A2">
            <w:pPr>
              <w:spacing w:line="360" w:lineRule="auto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iCs/>
              </w:rPr>
              <w:t xml:space="preserve">RR-BLUP:  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GEBV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BLUP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4675" w:type="dxa"/>
            <w:vAlign w:val="center"/>
          </w:tcPr>
          <w:p w14:paraId="18B2A644" w14:textId="0A1A3DDE" w:rsidR="00CD7D9E" w:rsidRDefault="00CD7D9E" w:rsidP="00F508A2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[6]</w:t>
            </w:r>
          </w:p>
        </w:tc>
      </w:tr>
    </w:tbl>
    <w:p w14:paraId="058A5954" w14:textId="2555ADE4" w:rsidR="00CD7D9E" w:rsidRDefault="00CD7D9E" w:rsidP="006065D8">
      <w:pPr>
        <w:spacing w:line="360" w:lineRule="auto"/>
      </w:pPr>
    </w:p>
    <w:p w14:paraId="1EA03E01" w14:textId="77777777" w:rsidR="00B32FC2" w:rsidRPr="00B32FC2" w:rsidRDefault="00B32FC2" w:rsidP="00B32FC2">
      <w:pPr>
        <w:spacing w:line="360" w:lineRule="auto"/>
        <w:rPr>
          <w:rFonts w:ascii="Calibri" w:eastAsiaTheme="minorEastAsia" w:hAnsi="Calibri" w:cs="Calibri"/>
          <w:b/>
        </w:rPr>
      </w:pPr>
      <w:r w:rsidRPr="00B32FC2">
        <w:rPr>
          <w:rFonts w:ascii="Calibri" w:eastAsiaTheme="minorEastAsia" w:hAnsi="Calibri" w:cs="Calibri"/>
          <w:b/>
        </w:rPr>
        <w:t>Prediction accuracy vs. predictive ability</w:t>
      </w:r>
    </w:p>
    <w:p w14:paraId="3B09C421" w14:textId="2C8C35F9" w:rsidR="00B32FC2" w:rsidRPr="00B32FC2" w:rsidRDefault="00B32FC2" w:rsidP="00B32FC2">
      <w:pPr>
        <w:spacing w:line="360" w:lineRule="auto"/>
        <w:rPr>
          <w:rFonts w:ascii="Calibri" w:eastAsiaTheme="minorEastAsia" w:hAnsi="Calibri" w:cs="Calibri"/>
        </w:rPr>
      </w:pPr>
      <w:r w:rsidRPr="00B32FC2">
        <w:rPr>
          <w:rFonts w:ascii="Calibri" w:eastAsiaTheme="minorEastAsia" w:hAnsi="Calibri" w:cs="Calibri"/>
        </w:rPr>
        <w:t xml:space="preserve">In a strict sense, </w:t>
      </w:r>
      <w:r w:rsidRPr="00B32FC2">
        <w:rPr>
          <w:rFonts w:ascii="Calibri" w:eastAsiaTheme="minorEastAsia" w:hAnsi="Calibri" w:cs="Calibri"/>
          <w:b/>
        </w:rPr>
        <w:t xml:space="preserve">prediction accuracy </w:t>
      </w:r>
      <w:r w:rsidRPr="00B32FC2">
        <w:rPr>
          <w:rFonts w:ascii="Calibri" w:eastAsiaTheme="minorEastAsia" w:hAnsi="Calibri" w:cs="Calibri"/>
        </w:rPr>
        <w:t xml:space="preserve">refers to </w:t>
      </w:r>
      <w:r>
        <w:rPr>
          <w:rFonts w:ascii="Calibri" w:eastAsiaTheme="minorEastAsia" w:hAnsi="Calibri" w:cs="Calibri"/>
        </w:rPr>
        <w:t xml:space="preserve">the </w:t>
      </w:r>
      <w:r w:rsidRPr="00B32FC2">
        <w:rPr>
          <w:rFonts w:ascii="Calibri" w:eastAsiaTheme="minorEastAsia" w:hAnsi="Calibri" w:cs="Calibri"/>
        </w:rPr>
        <w:t xml:space="preserve">correlation between </w:t>
      </w:r>
      <w:r>
        <w:rPr>
          <w:rFonts w:ascii="Calibri" w:eastAsiaTheme="minorEastAsia" w:hAnsi="Calibri" w:cs="Calibri"/>
        </w:rPr>
        <w:t xml:space="preserve">the </w:t>
      </w:r>
      <w:r w:rsidRPr="00B32FC2">
        <w:rPr>
          <w:rFonts w:ascii="Calibri" w:eastAsiaTheme="minorEastAsia" w:hAnsi="Calibri" w:cs="Calibri"/>
        </w:rPr>
        <w:t>predict</w:t>
      </w:r>
      <w:r>
        <w:rPr>
          <w:rFonts w:ascii="Calibri" w:eastAsiaTheme="minorEastAsia" w:hAnsi="Calibri" w:cs="Calibri"/>
        </w:rPr>
        <w:t>ed</w:t>
      </w:r>
      <w:r w:rsidRPr="00B32FC2">
        <w:rPr>
          <w:rFonts w:ascii="Calibri" w:eastAsiaTheme="minorEastAsia" w:hAnsi="Calibri" w:cs="Calibri"/>
        </w:rPr>
        <w:t xml:space="preserve"> and true value =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</m:sub>
        </m:sSub>
      </m:oMath>
      <w:r w:rsidRPr="00B32FC2">
        <w:rPr>
          <w:rFonts w:ascii="Calibri" w:eastAsiaTheme="minorEastAsia" w:hAnsi="Calibri" w:cs="Calibri"/>
        </w:rPr>
        <w:t xml:space="preserve">. </w:t>
      </w:r>
      <w:r>
        <w:rPr>
          <w:rFonts w:ascii="Calibri" w:eastAsiaTheme="minorEastAsia" w:hAnsi="Calibri" w:cs="Calibri"/>
        </w:rPr>
        <w:t xml:space="preserve">Because the </w:t>
      </w:r>
      <w:r w:rsidRPr="00B32FC2">
        <w:rPr>
          <w:rFonts w:ascii="Calibri" w:eastAsiaTheme="minorEastAsia" w:hAnsi="Calibri" w:cs="Calibri"/>
        </w:rPr>
        <w:t xml:space="preserve">true value is unknown for real data, </w:t>
      </w:r>
      <w:r>
        <w:rPr>
          <w:rFonts w:ascii="Calibri" w:eastAsiaTheme="minorEastAsia" w:hAnsi="Calibri" w:cs="Calibri"/>
        </w:rPr>
        <w:t>there are two commonly used approaches to estimate accuracy:</w:t>
      </w:r>
    </w:p>
    <w:p w14:paraId="3FE9E7EB" w14:textId="41A453F9" w:rsidR="00B32FC2" w:rsidRDefault="00B32FC2" w:rsidP="00B32FC2">
      <w:pPr>
        <w:spacing w:line="36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1. </w:t>
      </w:r>
      <w:r w:rsidR="000D6760">
        <w:rPr>
          <w:rFonts w:ascii="Calibri" w:eastAsiaTheme="minorEastAsia" w:hAnsi="Calibri" w:cs="Calibri"/>
        </w:rPr>
        <w:t xml:space="preserve">Based on </w:t>
      </w:r>
      <w:r>
        <w:rPr>
          <w:rFonts w:ascii="Calibri" w:eastAsiaTheme="minorEastAsia" w:hAnsi="Calibri" w:cs="Calibri"/>
        </w:rPr>
        <w:t xml:space="preserve">the inverse of the coefficient matrix of the MME (see Lecture 1). </w:t>
      </w:r>
      <w:r w:rsidR="000D6760">
        <w:rPr>
          <w:rFonts w:ascii="Calibri" w:eastAsiaTheme="minorEastAsia" w:hAnsi="Calibri" w:cs="Calibri"/>
        </w:rPr>
        <w:t>The main limitation of this approach is that it assumes the model is correct.</w:t>
      </w:r>
    </w:p>
    <w:p w14:paraId="24598491" w14:textId="2E67B9B0" w:rsidR="00850AF7" w:rsidRPr="000D6760" w:rsidRDefault="000D6760" w:rsidP="006065D8">
      <w:pPr>
        <w:spacing w:line="36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2</w:t>
      </w:r>
      <w:r w:rsidR="00B32FC2" w:rsidRPr="00B32FC2">
        <w:rPr>
          <w:rFonts w:ascii="Calibri" w:eastAsiaTheme="minorEastAsia" w:hAnsi="Calibri" w:cs="Calibri"/>
        </w:rPr>
        <w:t xml:space="preserve">. </w:t>
      </w:r>
      <w:r w:rsidR="00B32FC2">
        <w:rPr>
          <w:rFonts w:ascii="Calibri" w:eastAsiaTheme="minorEastAsia" w:hAnsi="Calibri" w:cs="Calibri"/>
        </w:rPr>
        <w:t xml:space="preserve">For marker-based prediction, cross-validation </w:t>
      </w:r>
      <w:r>
        <w:rPr>
          <w:rFonts w:ascii="Calibri" w:eastAsiaTheme="minorEastAsia" w:hAnsi="Calibri" w:cs="Calibri"/>
        </w:rPr>
        <w:t>can be used</w:t>
      </w:r>
      <w:r w:rsidR="001034C0">
        <w:rPr>
          <w:rFonts w:ascii="Calibri" w:eastAsiaTheme="minorEastAsia" w:hAnsi="Calibri" w:cs="Calibri"/>
        </w:rPr>
        <w:t xml:space="preserve"> by masking the </w:t>
      </w:r>
      <w:r w:rsidR="00B32FC2">
        <w:rPr>
          <w:rFonts w:ascii="Calibri" w:eastAsiaTheme="minorEastAsia" w:hAnsi="Calibri" w:cs="Calibri"/>
        </w:rPr>
        <w:t>phenotype</w:t>
      </w:r>
      <w:r w:rsidR="001034C0">
        <w:rPr>
          <w:rFonts w:ascii="Calibri" w:eastAsiaTheme="minorEastAsia" w:hAnsi="Calibri" w:cs="Calibri"/>
        </w:rPr>
        <w:t xml:space="preserve">s </w:t>
      </w:r>
      <w:r w:rsidR="00B32FC2">
        <w:rPr>
          <w:rFonts w:ascii="Calibri" w:eastAsiaTheme="minorEastAsia" w:hAnsi="Calibri" w:cs="Calibri"/>
        </w:rPr>
        <w:t>for some individuals.</w:t>
      </w:r>
      <w:r>
        <w:rPr>
          <w:rFonts w:ascii="Calibri" w:eastAsiaTheme="minorEastAsia" w:hAnsi="Calibri" w:cs="Calibri"/>
        </w:rPr>
        <w:t xml:space="preserve"> The correlation between the GEBVs for the masked individuals and their estimated true values (calculated without masking) is called </w:t>
      </w:r>
      <w:r w:rsidRPr="000D6760">
        <w:rPr>
          <w:rFonts w:ascii="Calibri" w:eastAsiaTheme="minorEastAsia" w:hAnsi="Calibri" w:cs="Calibri"/>
          <w:b/>
          <w:bCs/>
        </w:rPr>
        <w:t>predictive ability</w:t>
      </w:r>
      <w:r>
        <w:rPr>
          <w:rFonts w:ascii="Calibri" w:eastAsiaTheme="minorEastAsia" w:hAnsi="Calibri" w:cs="Calibri"/>
        </w:rPr>
        <w:t xml:space="preserve">. Dividing the predictive ability by the square-root of the </w:t>
      </w:r>
      <w:r w:rsidR="0035495F">
        <w:rPr>
          <w:rFonts w:ascii="Calibri" w:eastAsiaTheme="minorEastAsia" w:hAnsi="Calibri" w:cs="Calibri"/>
        </w:rPr>
        <w:t xml:space="preserve">reliability </w:t>
      </w:r>
      <w:r>
        <w:rPr>
          <w:rFonts w:ascii="Calibri" w:eastAsiaTheme="minorEastAsia" w:hAnsi="Calibri" w:cs="Calibri"/>
        </w:rPr>
        <w:t xml:space="preserve">of the validation data (e.g., based on point #1) approximates the accuracy of marker-based selection </w:t>
      </w:r>
      <w:r w:rsidR="00B32FC2" w:rsidRPr="00B32FC2">
        <w:rPr>
          <w:rFonts w:ascii="Calibri" w:eastAsiaTheme="minorEastAsia" w:hAnsi="Calibri" w:cs="Calibri"/>
        </w:rPr>
        <w:t>(</w:t>
      </w:r>
      <w:proofErr w:type="spellStart"/>
      <w:r w:rsidR="00B32FC2" w:rsidRPr="00B32FC2">
        <w:rPr>
          <w:rFonts w:ascii="Calibri" w:eastAsiaTheme="minorEastAsia" w:hAnsi="Calibri" w:cs="Calibri"/>
        </w:rPr>
        <w:t>Dekkers</w:t>
      </w:r>
      <w:proofErr w:type="spellEnd"/>
      <w:r w:rsidR="00B32FC2" w:rsidRPr="00B32FC2">
        <w:rPr>
          <w:rFonts w:ascii="Calibri" w:eastAsiaTheme="minorEastAsia" w:hAnsi="Calibri" w:cs="Calibri"/>
        </w:rPr>
        <w:t xml:space="preserve"> 2007). This </w:t>
      </w:r>
      <w:r w:rsidR="0035495F">
        <w:rPr>
          <w:rFonts w:ascii="Calibri" w:eastAsiaTheme="minorEastAsia" w:hAnsi="Calibri" w:cs="Calibri"/>
        </w:rPr>
        <w:t>approach is less sensitive to the correctness of the model than #1 but suffers from high mean-squared error when the validation data are less reliable (</w:t>
      </w:r>
      <w:proofErr w:type="spellStart"/>
      <w:r w:rsidR="0035495F" w:rsidRPr="0035495F">
        <w:rPr>
          <w:rFonts w:ascii="Calibri" w:eastAsiaTheme="minorEastAsia" w:hAnsi="Calibri" w:cs="Calibri"/>
        </w:rPr>
        <w:t>Estaghvirou</w:t>
      </w:r>
      <w:proofErr w:type="spellEnd"/>
      <w:r w:rsidR="0035495F" w:rsidRPr="0035495F">
        <w:rPr>
          <w:rFonts w:ascii="Calibri" w:eastAsiaTheme="minorEastAsia" w:hAnsi="Calibri" w:cs="Calibri"/>
        </w:rPr>
        <w:t xml:space="preserve"> et al. 2013</w:t>
      </w:r>
      <w:r w:rsidR="0035495F">
        <w:rPr>
          <w:rFonts w:ascii="Calibri" w:eastAsiaTheme="minorEastAsia" w:hAnsi="Calibri" w:cs="Calibri"/>
        </w:rPr>
        <w:t>).</w:t>
      </w:r>
    </w:p>
    <w:p w14:paraId="3414B0C2" w14:textId="18CDCB4F" w:rsidR="00850AF7" w:rsidRDefault="00850AF7" w:rsidP="006065D8">
      <w:pPr>
        <w:spacing w:line="360" w:lineRule="auto"/>
      </w:pPr>
    </w:p>
    <w:p w14:paraId="29FD5E75" w14:textId="5CE6A868" w:rsidR="00850AF7" w:rsidRDefault="00850AF7" w:rsidP="006065D8">
      <w:pPr>
        <w:spacing w:line="360" w:lineRule="auto"/>
        <w:rPr>
          <w:b/>
          <w:bCs/>
        </w:rPr>
      </w:pPr>
      <w:r w:rsidRPr="00850AF7">
        <w:rPr>
          <w:b/>
          <w:bCs/>
        </w:rPr>
        <w:t>References (optional reading)</w:t>
      </w:r>
    </w:p>
    <w:p w14:paraId="17D784CF" w14:textId="01D9105E" w:rsidR="00850AF7" w:rsidRDefault="00A31A0C" w:rsidP="0067195F">
      <w:pPr>
        <w:spacing w:after="120"/>
        <w:ind w:left="432" w:hanging="432"/>
      </w:pPr>
      <w:r>
        <w:t xml:space="preserve">Beavis WD (1998) QTL analyses: power, precision and accuracy, pp. 145–162 in </w:t>
      </w:r>
      <w:r>
        <w:rPr>
          <w:i/>
          <w:iCs/>
        </w:rPr>
        <w:t>Molecular Dissection of Complex Traits</w:t>
      </w:r>
      <w:r>
        <w:t>, edited by AH Paterson. CRC Press, Boca, Raton, FL.</w:t>
      </w:r>
    </w:p>
    <w:p w14:paraId="75A15B16" w14:textId="43947257" w:rsidR="004B1273" w:rsidRPr="00E87C39" w:rsidRDefault="004B1273" w:rsidP="004B1273">
      <w:pPr>
        <w:spacing w:after="120"/>
        <w:ind w:left="432" w:hanging="432"/>
      </w:pPr>
      <w:r>
        <w:t>de los Campos G, S</w:t>
      </w:r>
      <w:r>
        <w:t>o</w:t>
      </w:r>
      <w:r>
        <w:t xml:space="preserve">rensen D, </w:t>
      </w:r>
      <w:proofErr w:type="spellStart"/>
      <w:r>
        <w:t>Gianola</w:t>
      </w:r>
      <w:proofErr w:type="spellEnd"/>
      <w:r>
        <w:t xml:space="preserve"> D</w:t>
      </w:r>
      <w:r>
        <w:t xml:space="preserve"> (</w:t>
      </w:r>
      <w:r>
        <w:t>2015</w:t>
      </w:r>
      <w:r>
        <w:t>)</w:t>
      </w:r>
      <w:r w:rsidRPr="00E87C39">
        <w:t xml:space="preserve"> </w:t>
      </w:r>
      <w:r>
        <w:t>Genomic Heritability: What is it?</w:t>
      </w:r>
      <w:r w:rsidRPr="00E87C39">
        <w:t xml:space="preserve"> </w:t>
      </w:r>
      <w:proofErr w:type="spellStart"/>
      <w:r>
        <w:t>PloS</w:t>
      </w:r>
      <w:proofErr w:type="spellEnd"/>
      <w:r>
        <w:t xml:space="preserve"> Genetics 11(5):e1005048.</w:t>
      </w:r>
    </w:p>
    <w:p w14:paraId="7F55A157" w14:textId="0B69D1E1" w:rsidR="00A31A0C" w:rsidRDefault="00A31A0C" w:rsidP="0067195F">
      <w:pPr>
        <w:spacing w:after="120"/>
        <w:ind w:left="432" w:hanging="432"/>
      </w:pPr>
      <w:proofErr w:type="spellStart"/>
      <w:r>
        <w:lastRenderedPageBreak/>
        <w:t>Dekkers</w:t>
      </w:r>
      <w:proofErr w:type="spellEnd"/>
      <w:r>
        <w:t xml:space="preserve"> JCM (2007) Prediction of response to marker-assisted and genomic selection using selection index theory. J </w:t>
      </w:r>
      <w:proofErr w:type="spellStart"/>
      <w:r>
        <w:t>Anim</w:t>
      </w:r>
      <w:proofErr w:type="spellEnd"/>
      <w:r>
        <w:t xml:space="preserve"> Breed Genet 124:331</w:t>
      </w:r>
      <w:r>
        <w:softHyphen/>
        <w:t>-341.</w:t>
      </w:r>
    </w:p>
    <w:p w14:paraId="472DF13A" w14:textId="77777777" w:rsidR="0099185B" w:rsidRDefault="0099185B" w:rsidP="0099185B">
      <w:pPr>
        <w:spacing w:after="120"/>
        <w:ind w:left="432" w:hanging="432"/>
      </w:pPr>
      <w:r>
        <w:t xml:space="preserve">Endelman JB, </w:t>
      </w:r>
      <w:proofErr w:type="spellStart"/>
      <w:r>
        <w:t>Jannink</w:t>
      </w:r>
      <w:proofErr w:type="spellEnd"/>
      <w:r>
        <w:t xml:space="preserve"> J-L (2012) Shrinkage estimation of the realized relationship matrix. G3 2:1405-1413.</w:t>
      </w:r>
    </w:p>
    <w:p w14:paraId="377A9DE7" w14:textId="16FA5BBD" w:rsidR="004B1273" w:rsidRDefault="004B1273" w:rsidP="0067195F">
      <w:pPr>
        <w:spacing w:after="120"/>
        <w:ind w:left="432" w:hanging="432"/>
      </w:pPr>
      <w:proofErr w:type="spellStart"/>
      <w:r>
        <w:t>Estaghvirou</w:t>
      </w:r>
      <w:proofErr w:type="spellEnd"/>
      <w:r>
        <w:t xml:space="preserve"> SBO, </w:t>
      </w:r>
      <w:proofErr w:type="spellStart"/>
      <w:r>
        <w:t>Ogutu</w:t>
      </w:r>
      <w:proofErr w:type="spellEnd"/>
      <w:r>
        <w:t xml:space="preserve"> JO, Schulz-</w:t>
      </w:r>
      <w:proofErr w:type="spellStart"/>
      <w:r>
        <w:t>Streeck</w:t>
      </w:r>
      <w:proofErr w:type="spellEnd"/>
      <w:r>
        <w:t xml:space="preserve"> T, </w:t>
      </w:r>
      <w:proofErr w:type="spellStart"/>
      <w:r>
        <w:t>Knaak</w:t>
      </w:r>
      <w:proofErr w:type="spellEnd"/>
      <w:r>
        <w:t xml:space="preserve"> C, </w:t>
      </w:r>
      <w:proofErr w:type="spellStart"/>
      <w:r>
        <w:t>Ouzunova</w:t>
      </w:r>
      <w:proofErr w:type="spellEnd"/>
      <w:r>
        <w:t xml:space="preserve"> M, Gordillo A, </w:t>
      </w:r>
      <w:proofErr w:type="spellStart"/>
      <w:r>
        <w:t>Piepho</w:t>
      </w:r>
      <w:proofErr w:type="spellEnd"/>
      <w:r>
        <w:t xml:space="preserve"> H-P (2013) Evaluation of approaches for estimating the accuracy of genomic prediction in plant breeding. BMC Genomics 14:860.</w:t>
      </w:r>
    </w:p>
    <w:p w14:paraId="3F563026" w14:textId="0A5D4707" w:rsidR="0099185B" w:rsidRDefault="0099185B" w:rsidP="0067195F">
      <w:pPr>
        <w:spacing w:after="120"/>
        <w:ind w:left="432" w:hanging="432"/>
      </w:pPr>
      <w:r>
        <w:t xml:space="preserve">Heffner EL, </w:t>
      </w:r>
      <w:proofErr w:type="spellStart"/>
      <w:r>
        <w:t>Jannink</w:t>
      </w:r>
      <w:proofErr w:type="spellEnd"/>
      <w:r>
        <w:t xml:space="preserve"> J-L, Sorrells ME (2011). Genomic selection using multifamily prediction models in a wheat breeding program. Plant Genome 4:65–75.</w:t>
      </w:r>
    </w:p>
    <w:p w14:paraId="2F1558F3" w14:textId="488C0986" w:rsidR="00A31A0C" w:rsidRDefault="0067195F" w:rsidP="0067195F">
      <w:pPr>
        <w:spacing w:after="120"/>
        <w:ind w:left="432" w:hanging="432"/>
      </w:pPr>
      <w:proofErr w:type="spellStart"/>
      <w:r>
        <w:t>Lande</w:t>
      </w:r>
      <w:proofErr w:type="spellEnd"/>
      <w:r>
        <w:t xml:space="preserve"> R, Thompson R (1990) Efficiency of marker-assisted selection in the improvement of quantitative traits. Genetics 124:743</w:t>
      </w:r>
      <w:r>
        <w:softHyphen/>
        <w:t>-756.</w:t>
      </w:r>
    </w:p>
    <w:p w14:paraId="1F9F921B" w14:textId="2F0745BD" w:rsidR="0067195F" w:rsidRDefault="0067195F" w:rsidP="0067195F">
      <w:pPr>
        <w:spacing w:after="120"/>
        <w:ind w:left="432" w:hanging="432"/>
      </w:pPr>
      <w:proofErr w:type="spellStart"/>
      <w:r>
        <w:t>Meuwissen</w:t>
      </w:r>
      <w:proofErr w:type="spellEnd"/>
      <w:r>
        <w:t xml:space="preserve"> THE, Hayes BJ, Goddard ME (2001) Prediction of total genetic value using genome-wide dense marker maps. Genetics 157:1819-1829.</w:t>
      </w:r>
    </w:p>
    <w:p w14:paraId="450B2ED0" w14:textId="77777777" w:rsidR="0067195F" w:rsidRPr="00A31A0C" w:rsidRDefault="0067195F" w:rsidP="0067195F">
      <w:pPr>
        <w:spacing w:after="120"/>
        <w:ind w:left="432" w:hanging="432"/>
      </w:pPr>
    </w:p>
    <w:sectPr w:rsidR="0067195F" w:rsidRPr="00A31A0C" w:rsidSect="0039595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9C9D7" w14:textId="77777777" w:rsidR="00F6261C" w:rsidRDefault="00F6261C" w:rsidP="001034C0">
      <w:r>
        <w:separator/>
      </w:r>
    </w:p>
  </w:endnote>
  <w:endnote w:type="continuationSeparator" w:id="0">
    <w:p w14:paraId="0315EE58" w14:textId="77777777" w:rsidR="00F6261C" w:rsidRDefault="00F6261C" w:rsidP="0010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09135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57729" w14:textId="44463F39" w:rsidR="001034C0" w:rsidRDefault="001034C0" w:rsidP="00152EB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BDEACD" w14:textId="77777777" w:rsidR="001034C0" w:rsidRDefault="001034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980181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5A8128" w14:textId="15CC3891" w:rsidR="001034C0" w:rsidRDefault="001034C0" w:rsidP="00152EB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A9CE42" w14:textId="77777777" w:rsidR="001034C0" w:rsidRDefault="00103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D8314" w14:textId="77777777" w:rsidR="00F6261C" w:rsidRDefault="00F6261C" w:rsidP="001034C0">
      <w:r>
        <w:separator/>
      </w:r>
    </w:p>
  </w:footnote>
  <w:footnote w:type="continuationSeparator" w:id="0">
    <w:p w14:paraId="6AA2356C" w14:textId="77777777" w:rsidR="00F6261C" w:rsidRDefault="00F6261C" w:rsidP="0010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8C0"/>
    <w:multiLevelType w:val="multilevel"/>
    <w:tmpl w:val="0409001D"/>
    <w:name w:val="Endelman222"/>
    <w:styleLink w:val="Endelman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74"/>
    <w:rsid w:val="000D6760"/>
    <w:rsid w:val="000F1A40"/>
    <w:rsid w:val="001034C0"/>
    <w:rsid w:val="001210D0"/>
    <w:rsid w:val="00152D1B"/>
    <w:rsid w:val="001855AA"/>
    <w:rsid w:val="001B278C"/>
    <w:rsid w:val="002D6CBD"/>
    <w:rsid w:val="002F3A13"/>
    <w:rsid w:val="00306336"/>
    <w:rsid w:val="0035495F"/>
    <w:rsid w:val="00395950"/>
    <w:rsid w:val="0040014E"/>
    <w:rsid w:val="00401CE3"/>
    <w:rsid w:val="004A7240"/>
    <w:rsid w:val="004B1273"/>
    <w:rsid w:val="004C1BD0"/>
    <w:rsid w:val="004E43A7"/>
    <w:rsid w:val="00562194"/>
    <w:rsid w:val="00596B37"/>
    <w:rsid w:val="005C4056"/>
    <w:rsid w:val="005D79AF"/>
    <w:rsid w:val="006065D8"/>
    <w:rsid w:val="006230EE"/>
    <w:rsid w:val="0067195F"/>
    <w:rsid w:val="006C0EA8"/>
    <w:rsid w:val="006C5679"/>
    <w:rsid w:val="007023E2"/>
    <w:rsid w:val="0071156F"/>
    <w:rsid w:val="00722BE7"/>
    <w:rsid w:val="007A76BC"/>
    <w:rsid w:val="007C1C15"/>
    <w:rsid w:val="00804074"/>
    <w:rsid w:val="00850AF7"/>
    <w:rsid w:val="0099185B"/>
    <w:rsid w:val="009970FF"/>
    <w:rsid w:val="009D7532"/>
    <w:rsid w:val="00A31A0C"/>
    <w:rsid w:val="00A95C67"/>
    <w:rsid w:val="00AA247B"/>
    <w:rsid w:val="00AA42B0"/>
    <w:rsid w:val="00B32FC2"/>
    <w:rsid w:val="00B4295F"/>
    <w:rsid w:val="00BF02DE"/>
    <w:rsid w:val="00C32A7F"/>
    <w:rsid w:val="00CB6056"/>
    <w:rsid w:val="00CD7D9E"/>
    <w:rsid w:val="00D17E62"/>
    <w:rsid w:val="00D21408"/>
    <w:rsid w:val="00D51644"/>
    <w:rsid w:val="00DE3104"/>
    <w:rsid w:val="00E408DA"/>
    <w:rsid w:val="00F06077"/>
    <w:rsid w:val="00F4766F"/>
    <w:rsid w:val="00F6261C"/>
    <w:rsid w:val="00F821CF"/>
    <w:rsid w:val="00F8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FE92"/>
  <w14:defaultImageDpi w14:val="32767"/>
  <w15:chartTrackingRefBased/>
  <w15:docId w15:val="{9069F9CC-44AF-E849-B20C-D3C3D0F7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4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ndelman3">
    <w:name w:val="Endelman3"/>
    <w:uiPriority w:val="99"/>
    <w:rsid w:val="001B278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0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65D8"/>
    <w:rPr>
      <w:color w:val="808080"/>
    </w:rPr>
  </w:style>
  <w:style w:type="table" w:styleId="TableGrid">
    <w:name w:val="Table Grid"/>
    <w:basedOn w:val="TableNormal"/>
    <w:uiPriority w:val="39"/>
    <w:rsid w:val="0060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03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4C0"/>
  </w:style>
  <w:style w:type="character" w:styleId="PageNumber">
    <w:name w:val="page number"/>
    <w:basedOn w:val="DefaultParagraphFont"/>
    <w:uiPriority w:val="99"/>
    <w:semiHidden/>
    <w:unhideWhenUsed/>
    <w:rsid w:val="0010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Endelman</dc:creator>
  <cp:keywords/>
  <dc:description/>
  <cp:lastModifiedBy>Jeffrey Endelman</cp:lastModifiedBy>
  <cp:revision>30</cp:revision>
  <dcterms:created xsi:type="dcterms:W3CDTF">2020-03-04T00:21:00Z</dcterms:created>
  <dcterms:modified xsi:type="dcterms:W3CDTF">2020-03-05T22:49:00Z</dcterms:modified>
</cp:coreProperties>
</file>