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68EAE" w14:textId="2E65C1AA" w:rsidR="00A90581" w:rsidRDefault="00816F3D" w:rsidP="00A90581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Dominance</w:t>
      </w:r>
      <w:r w:rsidR="002A1B62">
        <w:rPr>
          <w:b/>
          <w:bCs/>
        </w:rPr>
        <w:t xml:space="preserve"> Effects</w:t>
      </w:r>
    </w:p>
    <w:p w14:paraId="398C5B7D" w14:textId="77777777" w:rsidR="00A90581" w:rsidRDefault="00A90581" w:rsidP="00A90581">
      <w:pPr>
        <w:jc w:val="center"/>
      </w:pPr>
      <w:r w:rsidRPr="00177612">
        <w:t>Jeffrey Endelman</w:t>
      </w:r>
    </w:p>
    <w:p w14:paraId="589E9FAD" w14:textId="77777777" w:rsidR="00A90581" w:rsidRPr="00177612" w:rsidRDefault="00A90581" w:rsidP="00A90581">
      <w:pPr>
        <w:jc w:val="center"/>
      </w:pPr>
      <w:proofErr w:type="spellStart"/>
      <w:r>
        <w:t>Agron</w:t>
      </w:r>
      <w:proofErr w:type="spellEnd"/>
      <w:r>
        <w:t>/</w:t>
      </w:r>
      <w:proofErr w:type="spellStart"/>
      <w:r>
        <w:t>Hort</w:t>
      </w:r>
      <w:proofErr w:type="spellEnd"/>
      <w:r>
        <w:t xml:space="preserve"> 812, Spring 2020</w:t>
      </w:r>
    </w:p>
    <w:p w14:paraId="51BEE0A6" w14:textId="77777777" w:rsidR="00A90581" w:rsidRDefault="00A90581" w:rsidP="00A90581">
      <w:pPr>
        <w:spacing w:line="360" w:lineRule="auto"/>
        <w:jc w:val="center"/>
        <w:rPr>
          <w:b/>
          <w:bCs/>
        </w:rPr>
      </w:pPr>
    </w:p>
    <w:p w14:paraId="5F5AB6A9" w14:textId="72916F1E" w:rsidR="003A09EE" w:rsidRPr="002A1B62" w:rsidRDefault="00D331E3" w:rsidP="00BB51C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Previously</w:t>
      </w:r>
      <w:r w:rsidR="002A1B62" w:rsidRPr="002A1B62">
        <w:rPr>
          <w:rFonts w:ascii="Calibri" w:hAnsi="Calibri" w:cs="Calibri"/>
        </w:rPr>
        <w:t>, genotypic value was decomposed into additive (</w:t>
      </w:r>
      <w:r w:rsidR="002A1B62" w:rsidRPr="002A1B62">
        <w:rPr>
          <w:rFonts w:ascii="Calibri" w:hAnsi="Calibri" w:cs="Calibri"/>
          <w:i/>
        </w:rPr>
        <w:t>u</w:t>
      </w:r>
      <w:r w:rsidR="002A1B62" w:rsidRPr="002A1B62">
        <w:rPr>
          <w:rFonts w:ascii="Calibri" w:hAnsi="Calibri" w:cs="Calibri"/>
        </w:rPr>
        <w:t>) and residual (</w:t>
      </w:r>
      <w:r w:rsidR="002A1B62" w:rsidRPr="002A1B62">
        <w:rPr>
          <w:rFonts w:ascii="Calibri" w:hAnsi="Calibri" w:cs="Calibri"/>
          <w:i/>
        </w:rPr>
        <w:t>r</w:t>
      </w:r>
      <w:r w:rsidR="002A1B62" w:rsidRPr="002A1B62">
        <w:rPr>
          <w:rFonts w:ascii="Calibri" w:hAnsi="Calibri" w:cs="Calibri"/>
        </w:rPr>
        <w:t xml:space="preserve">) components, where the latter has zero covariance between different individuals. To model the dominance component of </w:t>
      </w:r>
      <w:r w:rsidR="002A1B62" w:rsidRPr="002A1B62">
        <w:rPr>
          <w:rFonts w:ascii="Calibri" w:hAnsi="Calibri" w:cs="Calibri"/>
          <w:i/>
        </w:rPr>
        <w:t>r</w:t>
      </w:r>
      <w:r w:rsidR="002A1B62" w:rsidRPr="002A1B62">
        <w:rPr>
          <w:rFonts w:ascii="Calibri" w:hAnsi="Calibri" w:cs="Calibri"/>
        </w:rPr>
        <w:t xml:space="preserve">, </w:t>
      </w:r>
      <w:r w:rsidR="002A1B62">
        <w:rPr>
          <w:rFonts w:ascii="Calibri" w:hAnsi="Calibri" w:cs="Calibri"/>
        </w:rPr>
        <w:t xml:space="preserve">let us revisit the theory of average effects for a single locus. </w:t>
      </w:r>
      <w:r w:rsidR="00722624">
        <w:t xml:space="preserve">Let 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1,2,..m</m:t>
            </m:r>
          </m:e>
        </m:d>
      </m:oMath>
      <w:r w:rsidR="00722624">
        <w:t xml:space="preserve"> denote </w:t>
      </w:r>
      <w:r w:rsidR="00B94E40">
        <w:t xml:space="preserve">the maternal and paternal genes, respectively, </w:t>
      </w:r>
      <w:r w:rsidR="00B94E40">
        <w:rPr>
          <w:rFonts w:eastAsiaTheme="minorEastAsia"/>
        </w:rPr>
        <w:t>at a</w:t>
      </w:r>
      <w:r w:rsidR="00722624">
        <w:t xml:space="preserve"> locus with </w:t>
      </w:r>
      <w:r w:rsidR="00722624" w:rsidRPr="00722624">
        <w:rPr>
          <w:i/>
          <w:iCs/>
        </w:rPr>
        <w:t>m</w:t>
      </w:r>
      <w:r w:rsidR="00722624">
        <w:t xml:space="preserve"> alleles. The genotypic value of genotype </w:t>
      </w:r>
      <m:oMath>
        <m:r>
          <w:rPr>
            <w:rFonts w:ascii="Cambria Math" w:hAnsi="Cambria Math"/>
          </w:rPr>
          <m:t>ij</m:t>
        </m:r>
      </m:oMath>
      <w:r w:rsidR="00B94E40">
        <w:t xml:space="preserve"> </w:t>
      </w:r>
      <w:r w:rsidR="00722624">
        <w:t>is</w:t>
      </w:r>
      <w:r w:rsidR="00B4474D">
        <w:t xml:space="preserve"> denoted</w:t>
      </w:r>
      <w:r w:rsidR="007226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94E40">
        <w:rPr>
          <w:rFonts w:eastAsiaTheme="minorEastAsia"/>
        </w:rPr>
        <w:t xml:space="preserve">, and its frequency at panmictic equilibrium </w:t>
      </w:r>
      <w:r w:rsidR="00B94E40">
        <w:t xml:space="preserve">is the product of the allele frequencies: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94E40">
        <w:t xml:space="preserve">. </w:t>
      </w:r>
      <w:r w:rsidR="00ED22A8">
        <w:t xml:space="preserve">Using notation from factorial experiments, </w:t>
      </w:r>
      <w:r w:rsidR="00433696">
        <w:t xml:space="preserve">the </w:t>
      </w:r>
      <w:r w:rsidR="004A5115">
        <w:t xml:space="preserve">regression of </w:t>
      </w:r>
      <w:r w:rsidR="00977568">
        <w:t xml:space="preserve">the </w:t>
      </w:r>
      <w:r w:rsidR="004A5115">
        <w:t>genotypic value on allele dosage 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433696" w14:paraId="5A9A0A07" w14:textId="77777777" w:rsidTr="002A1B62">
        <w:trPr>
          <w:trHeight w:val="693"/>
        </w:trPr>
        <w:tc>
          <w:tcPr>
            <w:tcW w:w="5310" w:type="dxa"/>
            <w:vAlign w:val="center"/>
          </w:tcPr>
          <w:p w14:paraId="3B10F6F8" w14:textId="2F455BA6" w:rsidR="00433696" w:rsidRPr="00433696" w:rsidRDefault="00F0400F" w:rsidP="00433696">
            <w:pPr>
              <w:spacing w:after="120" w:line="360" w:lineRule="au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040" w:type="dxa"/>
            <w:vAlign w:val="center"/>
          </w:tcPr>
          <w:p w14:paraId="14DF6E60" w14:textId="060B4FB3" w:rsidR="00433696" w:rsidRDefault="00433696" w:rsidP="00433696">
            <w:pPr>
              <w:spacing w:after="120" w:line="360" w:lineRule="auto"/>
            </w:pPr>
            <w:r>
              <w:t>[1]</w:t>
            </w:r>
          </w:p>
        </w:tc>
      </w:tr>
    </w:tbl>
    <w:p w14:paraId="0A5345F5" w14:textId="07E00D1A" w:rsidR="008F00AC" w:rsidRPr="002A1B62" w:rsidRDefault="00B10DEC" w:rsidP="002A1B6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Pr="00327ADC">
        <w:rPr>
          <w:rFonts w:ascii="Symbol" w:eastAsiaTheme="minorEastAsia" w:hAnsi="Symbol"/>
        </w:rPr>
        <w:t></w:t>
      </w:r>
      <w:proofErr w:type="spellStart"/>
      <w:r w:rsidRPr="00B10DEC">
        <w:rPr>
          <w:rFonts w:eastAsiaTheme="minorEastAsia"/>
          <w:i/>
          <w:vertAlign w:val="subscript"/>
        </w:rPr>
        <w:t>i</w:t>
      </w:r>
      <w:proofErr w:type="spellEnd"/>
      <w:r>
        <w:rPr>
          <w:rFonts w:eastAsiaTheme="minorEastAsia"/>
        </w:rPr>
        <w:t xml:space="preserve"> is the </w:t>
      </w:r>
      <w:r w:rsidRPr="00977568">
        <w:rPr>
          <w:rFonts w:eastAsiaTheme="minorEastAsia"/>
          <w:b/>
          <w:bCs/>
        </w:rPr>
        <w:t>additive effect</w:t>
      </w:r>
      <w:r>
        <w:rPr>
          <w:rFonts w:eastAsiaTheme="minorEastAsia"/>
        </w:rPr>
        <w:t xml:space="preserve"> of</w:t>
      </w:r>
      <w:r w:rsidR="002A1B62">
        <w:rPr>
          <w:rFonts w:eastAsiaTheme="minorEastAsia"/>
        </w:rPr>
        <w:t xml:space="preserve"> gene</w:t>
      </w:r>
      <w:r>
        <w:rPr>
          <w:rFonts w:eastAsiaTheme="minorEastAsia"/>
        </w:rPr>
        <w:t xml:space="preserve"> </w:t>
      </w:r>
      <w:proofErr w:type="spellStart"/>
      <w:r w:rsidRPr="00B10DEC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 xml:space="preserve"> </w:t>
      </w:r>
      <w:r w:rsidR="00B94E40">
        <w:rPr>
          <w:rFonts w:eastAsiaTheme="minorEastAsia"/>
        </w:rPr>
        <w:t xml:space="preserve">and the </w:t>
      </w:r>
      <w:r w:rsidR="00433696">
        <w:rPr>
          <w:rFonts w:eastAsiaTheme="minorEastAsia"/>
        </w:rPr>
        <w:t xml:space="preserve">residual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33696">
        <w:rPr>
          <w:rFonts w:eastAsiaTheme="minorEastAsia"/>
        </w:rPr>
        <w:t xml:space="preserve"> is the </w:t>
      </w:r>
      <w:r w:rsidR="00433696" w:rsidRPr="006B2264">
        <w:rPr>
          <w:rFonts w:eastAsiaTheme="minorEastAsia"/>
          <w:b/>
          <w:bCs/>
        </w:rPr>
        <w:t>dominance effect</w:t>
      </w:r>
      <w:r w:rsidR="00433696">
        <w:rPr>
          <w:rFonts w:eastAsiaTheme="minorEastAsia"/>
        </w:rPr>
        <w:t xml:space="preserve"> </w:t>
      </w:r>
      <w:r w:rsidR="002A1B62">
        <w:rPr>
          <w:rFonts w:eastAsiaTheme="minorEastAsia"/>
        </w:rPr>
        <w:t xml:space="preserve">(a.k.a. the dominance deviation) </w:t>
      </w:r>
      <w:r w:rsidR="00433696">
        <w:rPr>
          <w:rFonts w:eastAsiaTheme="minorEastAsia"/>
        </w:rPr>
        <w:t xml:space="preserve">for </w:t>
      </w:r>
      <w:r w:rsidR="002A1B62">
        <w:rPr>
          <w:rFonts w:eastAsiaTheme="minorEastAsia"/>
        </w:rPr>
        <w:t xml:space="preserve">genotype </w:t>
      </w:r>
      <w:proofErr w:type="spellStart"/>
      <w:r w:rsidR="00433696" w:rsidRPr="006B2264">
        <w:rPr>
          <w:rFonts w:eastAsiaTheme="minorEastAsia"/>
          <w:i/>
          <w:iCs/>
        </w:rPr>
        <w:t>ij</w:t>
      </w:r>
      <w:proofErr w:type="spellEnd"/>
      <w:r w:rsidR="00433696">
        <w:rPr>
          <w:rFonts w:eastAsiaTheme="minorEastAsia"/>
        </w:rPr>
        <w:t>.</w:t>
      </w:r>
      <w:r w:rsidR="002A1B62">
        <w:rPr>
          <w:rFonts w:eastAsiaTheme="minorEastAsia"/>
        </w:rPr>
        <w:t xml:space="preserve">  </w:t>
      </w:r>
      <w:r w:rsidR="008F00AC">
        <w:t xml:space="preserve">At panmictic equilibrium, </w:t>
      </w:r>
      <w:r w:rsidR="00915DD5">
        <w:t xml:space="preserve">the covariance between </w:t>
      </w:r>
      <w:r w:rsidR="00BB51C7">
        <w:t>additive and dominance effects</w:t>
      </w:r>
      <w:r w:rsidR="00915DD5">
        <w:t xml:space="preserve"> is zero</w:t>
      </w:r>
      <w:r w:rsidR="008F00AC">
        <w:t xml:space="preserve">, which leads to </w:t>
      </w:r>
      <w:r w:rsidR="00BB51C7">
        <w:t>the following decomposition of variance:</w:t>
      </w:r>
    </w:p>
    <w:p w14:paraId="5B675C3D" w14:textId="16C704E5" w:rsidR="00A941DB" w:rsidRPr="002A1B62" w:rsidRDefault="00F0400F" w:rsidP="00915DD5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A941DB" w14:paraId="7920C10E" w14:textId="77777777" w:rsidTr="00A941DB">
        <w:trPr>
          <w:trHeight w:val="693"/>
        </w:trPr>
        <w:tc>
          <w:tcPr>
            <w:tcW w:w="5580" w:type="dxa"/>
            <w:vAlign w:val="center"/>
          </w:tcPr>
          <w:p w14:paraId="39A98AD8" w14:textId="18844DB8" w:rsidR="00A941DB" w:rsidRPr="00D86941" w:rsidRDefault="00A941DB" w:rsidP="00A941DB">
            <w:pPr>
              <w:spacing w:line="360" w:lineRule="auto"/>
            </w:pPr>
            <w:r>
              <w:rPr>
                <w:rFonts w:eastAsiaTheme="minorEastAsia"/>
              </w:rPr>
              <w:t xml:space="preserve">Additive variance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=2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oMath>
          </w:p>
          <w:p w14:paraId="078299D1" w14:textId="4D528588" w:rsidR="00A941DB" w:rsidRPr="00A941DB" w:rsidRDefault="00A941DB" w:rsidP="00A941DB">
            <w:pPr>
              <w:spacing w:line="360" w:lineRule="auto"/>
            </w:pPr>
            <w:r>
              <w:rPr>
                <w:rFonts w:eastAsiaTheme="minorEastAsia"/>
              </w:rPr>
              <w:t xml:space="preserve">Dominance variance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oMath>
          </w:p>
        </w:tc>
        <w:tc>
          <w:tcPr>
            <w:tcW w:w="3770" w:type="dxa"/>
            <w:vAlign w:val="center"/>
          </w:tcPr>
          <w:p w14:paraId="3853924F" w14:textId="5C699A9D" w:rsidR="00A941DB" w:rsidRDefault="00A941DB" w:rsidP="00A941DB">
            <w:pPr>
              <w:spacing w:after="120" w:line="360" w:lineRule="auto"/>
            </w:pPr>
            <w:r>
              <w:t>[</w:t>
            </w:r>
            <w:r w:rsidR="002A1B62">
              <w:t>2</w:t>
            </w:r>
            <w:r>
              <w:t>]</w:t>
            </w:r>
          </w:p>
        </w:tc>
      </w:tr>
    </w:tbl>
    <w:p w14:paraId="4C11C28E" w14:textId="1FA45182" w:rsidR="005A3545" w:rsidRDefault="005A3545" w:rsidP="00BB51C7">
      <w:pPr>
        <w:spacing w:line="360" w:lineRule="auto"/>
        <w:rPr>
          <w:rFonts w:eastAsiaTheme="minorEastAsia"/>
        </w:rPr>
      </w:pPr>
    </w:p>
    <w:p w14:paraId="2B3209FD" w14:textId="317CF5DD" w:rsidR="00BB51C7" w:rsidRDefault="002A1B62" w:rsidP="00BB51C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For the case of two alleles (</w:t>
      </w:r>
      <w:r w:rsidRPr="002A1B62">
        <w:rPr>
          <w:rFonts w:eastAsiaTheme="minorEastAsia"/>
          <w:i/>
          <w:iCs/>
        </w:rPr>
        <w:t>B</w:t>
      </w:r>
      <w:r>
        <w:rPr>
          <w:rFonts w:eastAsiaTheme="minorEastAsia"/>
        </w:rPr>
        <w:t>/</w:t>
      </w:r>
      <w:r w:rsidRPr="002A1B62">
        <w:rPr>
          <w:rFonts w:eastAsiaTheme="minorEastAsia"/>
          <w:i/>
          <w:iCs/>
        </w:rPr>
        <w:t>b</w:t>
      </w:r>
      <w:r>
        <w:rPr>
          <w:rFonts w:eastAsiaTheme="minorEastAsia"/>
        </w:rPr>
        <w:t>), there are three diploid genotypes (</w:t>
      </w:r>
      <w:r w:rsidRPr="002A1B62">
        <w:rPr>
          <w:rFonts w:eastAsiaTheme="minorEastAsia"/>
          <w:i/>
          <w:iCs/>
        </w:rPr>
        <w:t>BB</w:t>
      </w:r>
      <w:r>
        <w:rPr>
          <w:rFonts w:eastAsiaTheme="minorEastAsia"/>
        </w:rPr>
        <w:t xml:space="preserve">, </w:t>
      </w:r>
      <w:r w:rsidRPr="002A1B62">
        <w:rPr>
          <w:rFonts w:eastAsiaTheme="minorEastAsia"/>
          <w:i/>
          <w:iCs/>
        </w:rPr>
        <w:t>Bb</w:t>
      </w:r>
      <w:r>
        <w:rPr>
          <w:rFonts w:eastAsiaTheme="minorEastAsia"/>
        </w:rPr>
        <w:t xml:space="preserve">, </w:t>
      </w:r>
      <w:r w:rsidRPr="002A1B62">
        <w:rPr>
          <w:rFonts w:eastAsiaTheme="minorEastAsia"/>
          <w:i/>
          <w:iCs/>
        </w:rPr>
        <w:t>bb</w:t>
      </w:r>
      <w:r>
        <w:rPr>
          <w:rFonts w:eastAsiaTheme="minorEastAsia"/>
        </w:rPr>
        <w:t xml:space="preserve">) and each has a corresponding dominance effect. Let </w:t>
      </w:r>
      <w:r w:rsidRPr="002A1B62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denot</w:t>
      </w:r>
      <w:r w:rsidR="00D331E3">
        <w:rPr>
          <w:rFonts w:eastAsiaTheme="minorEastAsia"/>
        </w:rPr>
        <w:t>e</w:t>
      </w:r>
      <w:r>
        <w:rPr>
          <w:rFonts w:eastAsiaTheme="minorEastAsia"/>
        </w:rPr>
        <w:t xml:space="preserve"> the frequency of the </w:t>
      </w:r>
      <w:r w:rsidRPr="002A1B62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allele and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. </w:t>
      </w:r>
    </w:p>
    <w:p w14:paraId="1E17FDA9" w14:textId="5304FE4A" w:rsidR="00BC58EC" w:rsidRDefault="00BC58EC" w:rsidP="00BB51C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For the additive effects, we proceeded by defining the allele substitution effect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The analogous quantity for dominance effects 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3050"/>
      </w:tblGrid>
      <w:tr w:rsidR="00BC58EC" w14:paraId="01F2DA40" w14:textId="77777777" w:rsidTr="00BC58EC">
        <w:trPr>
          <w:trHeight w:val="738"/>
        </w:trPr>
        <w:tc>
          <w:tcPr>
            <w:tcW w:w="6300" w:type="dxa"/>
            <w:vAlign w:val="center"/>
          </w:tcPr>
          <w:p w14:paraId="1375BC8F" w14:textId="749026B5" w:rsidR="00BC58EC" w:rsidRPr="002A1B62" w:rsidRDefault="00BC58EC" w:rsidP="00F4307D">
            <w:pPr>
              <w:rPr>
                <w:rFonts w:ascii="Cambria" w:eastAsiaTheme="minorEastAsia" w:hAnsi="Cambria" w:cs="Times New Roman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β=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bb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bb</m:t>
                  </m:r>
                </m:sub>
              </m:sSub>
            </m:oMath>
          </w:p>
        </w:tc>
        <w:tc>
          <w:tcPr>
            <w:tcW w:w="3050" w:type="dxa"/>
            <w:vAlign w:val="center"/>
          </w:tcPr>
          <w:p w14:paraId="26CF8375" w14:textId="77777777" w:rsidR="00BC58EC" w:rsidRDefault="00BC58EC" w:rsidP="00F4307D">
            <w:pPr>
              <w:spacing w:after="120" w:line="360" w:lineRule="auto"/>
            </w:pPr>
            <w:r>
              <w:t>[3]</w:t>
            </w:r>
          </w:p>
        </w:tc>
      </w:tr>
    </w:tbl>
    <w:p w14:paraId="5B429378" w14:textId="385AA55C" w:rsidR="002A1B62" w:rsidRPr="00BC58EC" w:rsidRDefault="002A1B62" w:rsidP="00BB51C7">
      <w:pPr>
        <w:spacing w:line="360" w:lineRule="auto"/>
        <w:rPr>
          <w:rFonts w:ascii="Calibri" w:eastAsiaTheme="minorEastAsia" w:hAnsi="Calibri" w:cs="Calibri"/>
        </w:rPr>
      </w:pPr>
      <w:r w:rsidRPr="00BC58EC">
        <w:rPr>
          <w:rFonts w:ascii="Calibri" w:hAnsi="Calibri" w:cs="Calibri"/>
        </w:rPr>
        <w:t xml:space="preserve"> </w:t>
      </w:r>
      <w:r w:rsidR="00BC58EC" w:rsidRPr="00BC58EC">
        <w:rPr>
          <w:rFonts w:ascii="Calibri" w:hAnsi="Calibri" w:cs="Calibri"/>
        </w:rPr>
        <w:t xml:space="preserve">There is no accepted name for the </w:t>
      </w:r>
      <m:oMath>
        <m:r>
          <w:rPr>
            <w:rFonts w:ascii="Cambria Math" w:hAnsi="Cambria Math" w:cs="Calibri"/>
          </w:rPr>
          <m:t>β</m:t>
        </m:r>
      </m:oMath>
      <w:r w:rsidR="00BC58EC" w:rsidRPr="00BC58EC">
        <w:rPr>
          <w:rFonts w:ascii="Calibri" w:eastAsiaTheme="minorEastAsia" w:hAnsi="Calibri" w:cs="Calibri"/>
        </w:rPr>
        <w:t xml:space="preserve"> parameter in the literature, </w:t>
      </w:r>
      <w:r w:rsidR="00D331E3">
        <w:rPr>
          <w:rFonts w:ascii="Calibri" w:eastAsiaTheme="minorEastAsia" w:hAnsi="Calibri" w:cs="Calibri"/>
        </w:rPr>
        <w:t xml:space="preserve">so I will call it the </w:t>
      </w:r>
      <w:r w:rsidR="00D331E3" w:rsidRPr="00D331E3">
        <w:rPr>
          <w:rFonts w:ascii="Calibri" w:eastAsiaTheme="minorEastAsia" w:hAnsi="Calibri" w:cs="Calibri"/>
          <w:b/>
          <w:bCs/>
        </w:rPr>
        <w:t>dominance substitution effect</w:t>
      </w:r>
      <w:r w:rsidR="00D331E3">
        <w:rPr>
          <w:rFonts w:ascii="Calibri" w:eastAsiaTheme="minorEastAsia" w:hAnsi="Calibri" w:cs="Calibri"/>
        </w:rPr>
        <w:t>. F</w:t>
      </w:r>
      <w:r w:rsidR="00BC58EC" w:rsidRPr="00BC58EC">
        <w:rPr>
          <w:rFonts w:ascii="Calibri" w:eastAsiaTheme="minorEastAsia" w:hAnsi="Calibri" w:cs="Calibri"/>
        </w:rPr>
        <w:t>rom Eq. 3 we can see that it is the difference of the two possible allele substitution effects for dominance.</w:t>
      </w:r>
      <w:r w:rsidR="00BC58EC">
        <w:rPr>
          <w:rFonts w:ascii="Calibri" w:eastAsiaTheme="minorEastAsia" w:hAnsi="Calibri" w:cs="Calibri"/>
        </w:rPr>
        <w:t xml:space="preserve"> Just as the solution for the additive effects can be written succinctly in terms of </w:t>
      </w:r>
      <m:oMath>
        <m:r>
          <w:rPr>
            <w:rFonts w:ascii="Cambria Math" w:eastAsiaTheme="minorEastAsia" w:hAnsi="Cambria Math"/>
          </w:rPr>
          <m:t>α</m:t>
        </m:r>
      </m:oMath>
      <w:r w:rsidR="00BC58EC">
        <w:rPr>
          <w:rFonts w:ascii="Calibri" w:eastAsiaTheme="minorEastAsia" w:hAnsi="Calibri" w:cs="Calibri"/>
        </w:rPr>
        <w:t>, the same is true for the dominance effects: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2A1B62" w14:paraId="7C2FF4CC" w14:textId="77777777" w:rsidTr="002A1B62">
        <w:trPr>
          <w:trHeight w:val="1134"/>
        </w:trPr>
        <w:tc>
          <w:tcPr>
            <w:tcW w:w="5580" w:type="dxa"/>
            <w:vAlign w:val="center"/>
          </w:tcPr>
          <w:p w14:paraId="5DEBF48B" w14:textId="77777777" w:rsidR="002A1B62" w:rsidRPr="00920CCC" w:rsidRDefault="00F0400F" w:rsidP="002A1B62">
            <w:pPr>
              <w:rPr>
                <w:rFonts w:ascii="Cambria" w:eastAsiaTheme="minorEastAsia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  <w:p w14:paraId="40115721" w14:textId="77777777" w:rsidR="002A1B62" w:rsidRPr="00920CCC" w:rsidRDefault="00F0400F" w:rsidP="002A1B62">
            <w:pPr>
              <w:rPr>
                <w:rFonts w:ascii="Cambria" w:eastAsiaTheme="minorEastAsia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=-pqβ</m:t>
                </m:r>
              </m:oMath>
            </m:oMathPara>
          </w:p>
          <w:p w14:paraId="64E9F2A2" w14:textId="1AFC2967" w:rsidR="002A1B62" w:rsidRPr="002A1B62" w:rsidRDefault="00F0400F" w:rsidP="002A1B62">
            <w:pPr>
              <w:rPr>
                <w:rFonts w:ascii="Cambria" w:eastAsiaTheme="minorEastAsia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β</m:t>
                </m:r>
              </m:oMath>
            </m:oMathPara>
          </w:p>
        </w:tc>
        <w:tc>
          <w:tcPr>
            <w:tcW w:w="3770" w:type="dxa"/>
            <w:vAlign w:val="center"/>
          </w:tcPr>
          <w:p w14:paraId="7E0E0DAF" w14:textId="52E4C48D" w:rsidR="002A1B62" w:rsidRDefault="002A1B62" w:rsidP="00F4307D">
            <w:pPr>
              <w:spacing w:after="120" w:line="360" w:lineRule="auto"/>
            </w:pPr>
            <w:r>
              <w:t>[</w:t>
            </w:r>
            <w:r w:rsidR="00BC58EC">
              <w:t>4</w:t>
            </w:r>
            <w:r>
              <w:t>]</w:t>
            </w:r>
          </w:p>
        </w:tc>
      </w:tr>
    </w:tbl>
    <w:p w14:paraId="07196F5B" w14:textId="7CC58FB4" w:rsidR="002A1B62" w:rsidRDefault="00BC58EC" w:rsidP="00BB51C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Under this parameterization, t</w:t>
      </w:r>
      <w:r w:rsidR="002A1B62">
        <w:rPr>
          <w:rFonts w:eastAsiaTheme="minorEastAsia"/>
        </w:rPr>
        <w:t>he expression for dominance variance (Eq. 2) becomes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2A1B62" w14:paraId="31885107" w14:textId="77777777" w:rsidTr="002A1B62">
        <w:trPr>
          <w:trHeight w:val="945"/>
        </w:trPr>
        <w:tc>
          <w:tcPr>
            <w:tcW w:w="5580" w:type="dxa"/>
            <w:vAlign w:val="center"/>
          </w:tcPr>
          <w:p w14:paraId="0BA4DEF0" w14:textId="789F1181" w:rsidR="002A1B62" w:rsidRPr="002A1B62" w:rsidRDefault="00F0400F" w:rsidP="00F4307D">
            <w:pPr>
              <w:rPr>
                <w:rFonts w:ascii="Cambria" w:eastAsiaTheme="minorEastAsia" w:hAnsi="Cambr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+2pq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+2pq+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70" w:type="dxa"/>
            <w:vAlign w:val="center"/>
          </w:tcPr>
          <w:p w14:paraId="4F094426" w14:textId="6752B75D" w:rsidR="002A1B62" w:rsidRDefault="002A1B62" w:rsidP="00F4307D">
            <w:pPr>
              <w:spacing w:after="120" w:line="360" w:lineRule="auto"/>
            </w:pPr>
            <w:r>
              <w:t>[</w:t>
            </w:r>
            <w:r w:rsidR="00BC58EC">
              <w:t>5</w:t>
            </w:r>
            <w:r>
              <w:t>]</w:t>
            </w:r>
          </w:p>
        </w:tc>
      </w:tr>
    </w:tbl>
    <w:p w14:paraId="45C9DE4D" w14:textId="77777777" w:rsidR="002A1B62" w:rsidRDefault="002A1B62" w:rsidP="00BB51C7">
      <w:pPr>
        <w:spacing w:line="360" w:lineRule="auto"/>
        <w:rPr>
          <w:rFonts w:eastAsiaTheme="minorEastAsia"/>
        </w:rPr>
      </w:pPr>
    </w:p>
    <w:p w14:paraId="525152B2" w14:textId="2C09AE86" w:rsidR="002A1B62" w:rsidRDefault="002A1B62" w:rsidP="002A1B62">
      <w:pPr>
        <w:spacing w:line="360" w:lineRule="auto"/>
        <w:rPr>
          <w:rFonts w:ascii="Calibri" w:hAnsi="Calibri" w:cs="Calibri"/>
        </w:rPr>
      </w:pPr>
      <w:r w:rsidRPr="002A1B62">
        <w:rPr>
          <w:rFonts w:ascii="Calibri" w:hAnsi="Calibri" w:cs="Calibri"/>
        </w:rPr>
        <w:t xml:space="preserve">If </w:t>
      </w:r>
      <w:r w:rsidRPr="002A1B62">
        <w:rPr>
          <w:rFonts w:ascii="Calibri" w:hAnsi="Calibri" w:cs="Calibri"/>
          <w:i/>
        </w:rPr>
        <w:t>X</w:t>
      </w:r>
      <w:r w:rsidRPr="002A1B62">
        <w:rPr>
          <w:rFonts w:ascii="Calibri" w:hAnsi="Calibri" w:cs="Calibri"/>
        </w:rPr>
        <w:t xml:space="preserve"> denotes the dosage of allele </w:t>
      </w:r>
      <w:r w:rsidRPr="002A1B62">
        <w:rPr>
          <w:rFonts w:ascii="Calibri" w:hAnsi="Calibri" w:cs="Calibri"/>
          <w:i/>
        </w:rPr>
        <w:t>B</w:t>
      </w:r>
      <w:r w:rsidRPr="002A1B62">
        <w:rPr>
          <w:rFonts w:ascii="Calibri" w:hAnsi="Calibri" w:cs="Calibri"/>
        </w:rPr>
        <w:t xml:space="preserve"> and </w:t>
      </w:r>
      <w:r w:rsidRPr="002A1B62">
        <w:rPr>
          <w:rFonts w:ascii="Calibri" w:hAnsi="Calibri" w:cs="Calibri"/>
          <w:i/>
        </w:rPr>
        <w:t>v</w:t>
      </w:r>
      <w:r w:rsidRPr="002A1B62">
        <w:rPr>
          <w:rFonts w:ascii="Calibri" w:hAnsi="Calibri" w:cs="Calibri"/>
        </w:rPr>
        <w:t xml:space="preserve"> is the dominance </w:t>
      </w:r>
      <w:r>
        <w:rPr>
          <w:rFonts w:ascii="Calibri" w:hAnsi="Calibri" w:cs="Calibri"/>
        </w:rPr>
        <w:t xml:space="preserve">deviation for </w:t>
      </w:r>
      <w:r w:rsidRPr="002A1B62">
        <w:rPr>
          <w:rFonts w:ascii="Calibri" w:hAnsi="Calibri" w:cs="Calibri"/>
        </w:rPr>
        <w:t xml:space="preserve">an individual with genotype </w:t>
      </w:r>
      <w:r w:rsidRPr="002A1B62">
        <w:rPr>
          <w:rFonts w:ascii="Calibri" w:hAnsi="Calibri" w:cs="Calibri"/>
          <w:i/>
        </w:rPr>
        <w:t>X</w:t>
      </w:r>
      <w:r w:rsidRPr="002A1B6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then Eq. </w:t>
      </w:r>
      <w:r w:rsidR="00BC58EC">
        <w:rPr>
          <w:rFonts w:ascii="Calibri" w:hAnsi="Calibri" w:cs="Calibri"/>
        </w:rPr>
        <w:t>4</w:t>
      </w:r>
      <w:r w:rsidRPr="002A1B62">
        <w:rPr>
          <w:rFonts w:ascii="Calibri" w:hAnsi="Calibri" w:cs="Calibri"/>
        </w:rPr>
        <w:t xml:space="preserve"> is equivalent to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770"/>
      </w:tblGrid>
      <w:tr w:rsidR="002A1B62" w14:paraId="3348182B" w14:textId="77777777" w:rsidTr="00F4307D">
        <w:trPr>
          <w:trHeight w:val="1134"/>
        </w:trPr>
        <w:tc>
          <w:tcPr>
            <w:tcW w:w="5580" w:type="dxa"/>
            <w:vAlign w:val="center"/>
          </w:tcPr>
          <w:p w14:paraId="5AA38CF4" w14:textId="21F3746C" w:rsidR="002A1B62" w:rsidRPr="002A1B62" w:rsidRDefault="002A1B62" w:rsidP="002A1B62">
            <w:pPr>
              <w:spacing w:line="360" w:lineRule="auto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-Xp+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X(X-1)</m:t>
                    </m:r>
                  </m:e>
                </m:d>
                <m:r>
                  <w:rPr>
                    <w:rFonts w:ascii="Cambria Math" w:hAnsi="Cambria Math" w:cs="Calibri"/>
                  </w:rPr>
                  <m:t>β</m:t>
                </m:r>
                <m:r>
                  <w:rPr>
                    <w:rFonts w:ascii="Cambria Math" w:eastAsiaTheme="minorEastAsia" w:hAnsi="Cambria Math" w:cs="Calibri"/>
                  </w:rPr>
                  <m:t>=V</m:t>
                </m:r>
                <m:r>
                  <w:rPr>
                    <w:rFonts w:ascii="Cambria Math" w:hAnsi="Cambria Math" w:cs="Calibri"/>
                  </w:rPr>
                  <m:t>β</m:t>
                </m:r>
              </m:oMath>
            </m:oMathPara>
          </w:p>
        </w:tc>
        <w:tc>
          <w:tcPr>
            <w:tcW w:w="3770" w:type="dxa"/>
            <w:vAlign w:val="center"/>
          </w:tcPr>
          <w:p w14:paraId="4F6365E0" w14:textId="64D6CFD9" w:rsidR="002A1B62" w:rsidRDefault="002A1B62" w:rsidP="00F4307D">
            <w:pPr>
              <w:spacing w:after="120" w:line="360" w:lineRule="auto"/>
            </w:pPr>
            <w:r>
              <w:t>[</w:t>
            </w:r>
            <w:r w:rsidR="00BC58EC">
              <w:t>6</w:t>
            </w:r>
            <w:r>
              <w:t>]</w:t>
            </w:r>
          </w:p>
        </w:tc>
      </w:tr>
    </w:tbl>
    <w:p w14:paraId="408205E3" w14:textId="6E3BE0AF" w:rsidR="002A1B62" w:rsidRPr="002A1B62" w:rsidRDefault="002A1B62" w:rsidP="002A1B6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Eq. </w:t>
      </w:r>
      <w:r w:rsidR="00BC58EC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</w:t>
      </w:r>
      <w:r w:rsidR="00BC58EC">
        <w:rPr>
          <w:rFonts w:ascii="Calibri" w:hAnsi="Calibri" w:cs="Calibri"/>
        </w:rPr>
        <w:t xml:space="preserve">defines a dominance genotype </w:t>
      </w:r>
      <w:r w:rsidR="00BC58EC" w:rsidRPr="00BC58EC">
        <w:rPr>
          <w:rFonts w:ascii="Calibri" w:hAnsi="Calibri" w:cs="Calibri"/>
          <w:i/>
          <w:iCs/>
        </w:rPr>
        <w:t>V</w:t>
      </w:r>
      <w:r w:rsidR="00BC58EC">
        <w:rPr>
          <w:rFonts w:ascii="Calibri" w:hAnsi="Calibri" w:cs="Calibri"/>
        </w:rPr>
        <w:t xml:space="preserve"> that </w:t>
      </w:r>
      <w:r>
        <w:rPr>
          <w:rFonts w:ascii="Calibri" w:hAnsi="Calibri" w:cs="Calibri"/>
        </w:rPr>
        <w:t xml:space="preserve">is a </w:t>
      </w:r>
      <w:r w:rsidRPr="00BC58EC">
        <w:rPr>
          <w:rFonts w:ascii="Calibri" w:hAnsi="Calibri" w:cs="Calibri"/>
          <w:b/>
          <w:bCs/>
        </w:rPr>
        <w:t>quadratic</w:t>
      </w:r>
      <w:r>
        <w:rPr>
          <w:rFonts w:ascii="Calibri" w:hAnsi="Calibri" w:cs="Calibri"/>
        </w:rPr>
        <w:t xml:space="preserve"> function of allele dosag</w:t>
      </w:r>
      <w:r w:rsidR="00BC58EC">
        <w:rPr>
          <w:rFonts w:ascii="Calibri" w:hAnsi="Calibri" w:cs="Calibri"/>
        </w:rPr>
        <w:t xml:space="preserve">e. This can be compared with the analogous expression for breeding value involving the centered genotype </w:t>
      </w:r>
      <w:r w:rsidR="00BC58EC" w:rsidRPr="00BC58EC">
        <w:rPr>
          <w:rFonts w:ascii="Calibri" w:hAnsi="Calibri" w:cs="Calibri"/>
          <w:i/>
          <w:iCs/>
        </w:rPr>
        <w:t>W</w:t>
      </w:r>
      <w:r w:rsidR="00BC58EC">
        <w:rPr>
          <w:rFonts w:ascii="Calibri" w:hAnsi="Calibri" w:cs="Calibri"/>
        </w:rPr>
        <w:t xml:space="preserve">, which is a </w:t>
      </w:r>
      <w:r w:rsidR="00BC58EC" w:rsidRPr="00BC58EC">
        <w:rPr>
          <w:rFonts w:ascii="Calibri" w:hAnsi="Calibri" w:cs="Calibri"/>
          <w:b/>
          <w:bCs/>
        </w:rPr>
        <w:t>linear</w:t>
      </w:r>
      <w:r w:rsidR="00BC58EC">
        <w:rPr>
          <w:rFonts w:ascii="Calibri" w:hAnsi="Calibri" w:cs="Calibri"/>
        </w:rPr>
        <w:t xml:space="preserve"> function of allele dosage.</w:t>
      </w:r>
    </w:p>
    <w:p w14:paraId="0B4336D0" w14:textId="77777777" w:rsidR="002A1B62" w:rsidRDefault="002A1B62" w:rsidP="006B2264">
      <w:pPr>
        <w:spacing w:line="360" w:lineRule="auto"/>
        <w:rPr>
          <w:rFonts w:eastAsiaTheme="minorEastAsia"/>
          <w:b/>
          <w:bCs/>
        </w:rPr>
      </w:pPr>
    </w:p>
    <w:p w14:paraId="65BC4134" w14:textId="08AFB5FD" w:rsidR="00F91E9C" w:rsidRDefault="00BC58EC" w:rsidP="006B2264">
      <w:pPr>
        <w:spacing w:line="36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Estimating Dominance with Markers</w:t>
      </w:r>
    </w:p>
    <w:p w14:paraId="6EB18FC0" w14:textId="7402F8C0" w:rsidR="00BC58EC" w:rsidRDefault="00BC58EC" w:rsidP="00BC58EC">
      <w:pPr>
        <w:spacing w:line="360" w:lineRule="auto"/>
        <w:rPr>
          <w:rFonts w:eastAsiaTheme="minorEastAsia"/>
        </w:rPr>
      </w:pPr>
      <w:r>
        <w:t xml:space="preserve">In earlier lectures, non-additive effects were modeled as </w:t>
      </w:r>
      <w:proofErr w:type="spellStart"/>
      <w:r>
        <w:t>i.i.d</w:t>
      </w:r>
      <w:proofErr w:type="spellEnd"/>
      <w:r>
        <w:t xml:space="preserve">. Now we will consider the covariance between dominance effects based on Eq. </w:t>
      </w:r>
      <w:r w:rsidR="00304D87">
        <w:t>6</w:t>
      </w:r>
      <w:r>
        <w:t xml:space="preserve">. </w:t>
      </w:r>
      <w:r>
        <w:rPr>
          <w:rFonts w:eastAsiaTheme="minorEastAsia"/>
        </w:rPr>
        <w:t xml:space="preserve">Let </w:t>
      </w:r>
      <w:r w:rsidRPr="00BC58EC">
        <w:rPr>
          <w:rFonts w:eastAsiaTheme="minorEastAsia"/>
          <w:b/>
          <w:bCs/>
        </w:rPr>
        <w:t>X</w:t>
      </w:r>
      <w:r>
        <w:rPr>
          <w:rFonts w:eastAsiaTheme="minorEastAsia"/>
        </w:rPr>
        <w:t xml:space="preserve"> denote the </w:t>
      </w:r>
      <w:r w:rsidRPr="001855AA">
        <w:rPr>
          <w:i/>
          <w:iCs/>
        </w:rPr>
        <w:t>n</w:t>
      </w:r>
      <w:r>
        <w:t xml:space="preserve"> x </w:t>
      </w:r>
      <w:r w:rsidRPr="001855AA">
        <w:rPr>
          <w:i/>
          <w:iCs/>
        </w:rPr>
        <w:t>m</w:t>
      </w:r>
      <w:r>
        <w:t xml:space="preserve"> matrix of allele dosages for a</w:t>
      </w:r>
      <w:r>
        <w:rPr>
          <w:rFonts w:eastAsiaTheme="minorEastAsia"/>
        </w:rPr>
        <w:t xml:space="preserve"> population of </w:t>
      </w:r>
      <w:r w:rsidRPr="00BC58EC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individuals with </w:t>
      </w:r>
      <w:r w:rsidRPr="00BC58EC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bi-allelic markers</w:t>
      </w:r>
      <w:r>
        <w:t xml:space="preserve">. Let </w:t>
      </w:r>
      <w:r w:rsidRPr="00BC58EC">
        <w:rPr>
          <w:b/>
          <w:bCs/>
        </w:rPr>
        <w:t>W</w:t>
      </w:r>
      <w:r>
        <w:t xml:space="preserve"> denote the matrix of centered genotypes (computed by subtracting the mean for each marker from the allele dosage) and </w:t>
      </w:r>
      <w:r w:rsidRPr="00BC58EC">
        <w:rPr>
          <w:b/>
          <w:bCs/>
        </w:rPr>
        <w:t>V</w:t>
      </w:r>
      <w:r>
        <w:t xml:space="preserve"> is the matrix of dominance genotypes computed according to Eq. </w:t>
      </w:r>
      <w:r w:rsidR="00304D87">
        <w:t>6</w:t>
      </w:r>
      <w:r>
        <w:t>.</w:t>
      </w:r>
    </w:p>
    <w:p w14:paraId="787BE962" w14:textId="77777777" w:rsidR="00304D87" w:rsidRDefault="00304D87" w:rsidP="00B2319F">
      <w:pPr>
        <w:spacing w:line="360" w:lineRule="auto"/>
      </w:pPr>
    </w:p>
    <w:p w14:paraId="3732D622" w14:textId="30E5BC77" w:rsidR="0058736A" w:rsidRDefault="00BC58EC" w:rsidP="00B2319F">
      <w:pPr>
        <w:spacing w:line="360" w:lineRule="auto"/>
        <w:rPr>
          <w:rFonts w:eastAsiaTheme="minorEastAsia"/>
        </w:rPr>
      </w:pPr>
      <w:r>
        <w:t>Decompose the genotypic value into additive, dominance, and residual effects:</w:t>
      </w: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70"/>
      </w:tblGrid>
      <w:tr w:rsidR="00BC58EC" w14:paraId="4F3FF082" w14:textId="21AA0AB5" w:rsidTr="00BC58EC">
        <w:tc>
          <w:tcPr>
            <w:tcW w:w="5490" w:type="dxa"/>
            <w:vAlign w:val="center"/>
          </w:tcPr>
          <w:p w14:paraId="74553674" w14:textId="77777777" w:rsidR="00BC58EC" w:rsidRPr="0058736A" w:rsidRDefault="00BC58EC" w:rsidP="00BC58EC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  <w:p w14:paraId="0416F34F" w14:textId="37C02FF2" w:rsidR="00BC58EC" w:rsidRPr="00BC58EC" w:rsidRDefault="00BC58EC" w:rsidP="00BC58EC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a=Wα</m:t>
                </m:r>
              </m:oMath>
            </m:oMathPara>
          </w:p>
          <w:p w14:paraId="7F80D837" w14:textId="62FC2C08" w:rsidR="00BC58EC" w:rsidRPr="00BC58EC" w:rsidRDefault="00BC58EC" w:rsidP="00BC58EC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d=V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</w:rPr>
                  <m:t>β</m:t>
                </m:r>
              </m:oMath>
            </m:oMathPara>
          </w:p>
          <w:p w14:paraId="748F00C2" w14:textId="0CF3B0DE" w:rsidR="00BC58EC" w:rsidRPr="00BC58EC" w:rsidRDefault="00BC58EC" w:rsidP="00BC58EC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~N(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870" w:type="dxa"/>
            <w:vAlign w:val="center"/>
          </w:tcPr>
          <w:p w14:paraId="136992D4" w14:textId="7AB29AB3" w:rsidR="00BC58EC" w:rsidRPr="00A01BD0" w:rsidRDefault="00BC58EC" w:rsidP="00A01BD0">
            <w:pPr>
              <w:spacing w:line="360" w:lineRule="auto"/>
              <w:rPr>
                <w:rFonts w:ascii="Calibri" w:eastAsia="Calibri" w:hAnsi="Calibri" w:cs="Times New Roman"/>
                <w:iCs/>
              </w:rPr>
            </w:pPr>
            <w:r w:rsidRPr="00A01BD0">
              <w:rPr>
                <w:rFonts w:ascii="Calibri" w:eastAsia="Calibri" w:hAnsi="Calibri" w:cs="Times New Roman"/>
                <w:iCs/>
              </w:rPr>
              <w:t>[</w:t>
            </w:r>
            <w:r w:rsidR="00304D87">
              <w:rPr>
                <w:rFonts w:ascii="Calibri" w:eastAsia="Calibri" w:hAnsi="Calibri" w:cs="Times New Roman"/>
                <w:iCs/>
              </w:rPr>
              <w:t>7</w:t>
            </w:r>
            <w:r>
              <w:rPr>
                <w:rFonts w:ascii="Calibri" w:eastAsia="Calibri" w:hAnsi="Calibri" w:cs="Times New Roman"/>
                <w:iCs/>
              </w:rPr>
              <w:t>]</w:t>
            </w:r>
          </w:p>
        </w:tc>
      </w:tr>
    </w:tbl>
    <w:p w14:paraId="4CE8E50A" w14:textId="1298F8D4" w:rsidR="00914D5E" w:rsidRDefault="00BC58EC" w:rsidP="00B2319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</w:rPr>
        <w:t xml:space="preserve">In Eq. </w:t>
      </w:r>
      <w:r w:rsidR="00304D87">
        <w:rPr>
          <w:rFonts w:eastAsiaTheme="minorEastAsia"/>
        </w:rPr>
        <w:t>7</w:t>
      </w:r>
      <w:r>
        <w:rPr>
          <w:rFonts w:eastAsiaTheme="minorEastAsia"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b/>
        </w:rPr>
        <w:t xml:space="preserve"> </w:t>
      </w:r>
      <w:r w:rsidRPr="00BC58EC">
        <w:rPr>
          <w:rFonts w:eastAsiaTheme="minorEastAsia"/>
          <w:bCs/>
        </w:rPr>
        <w:t>is the ve</w:t>
      </w:r>
      <w:r>
        <w:rPr>
          <w:rFonts w:eastAsiaTheme="minorEastAsia"/>
          <w:bCs/>
        </w:rPr>
        <w:t xml:space="preserve">ctor of allele substitution effects for the markers, and </w:t>
      </w:r>
      <m:oMath>
        <m:r>
          <m:rPr>
            <m:sty m:val="b"/>
          </m:rPr>
          <w:rPr>
            <w:rFonts w:ascii="Cambria Math" w:hAnsi="Cambria Math" w:cs="Calibri"/>
          </w:rPr>
          <m:t>β</m:t>
        </m:r>
      </m:oMath>
      <w:r>
        <w:rPr>
          <w:rFonts w:eastAsiaTheme="minorEastAsia"/>
          <w:iCs/>
        </w:rPr>
        <w:t xml:space="preserve"> is the</w:t>
      </w:r>
      <w:r w:rsidR="00304D87">
        <w:rPr>
          <w:rFonts w:eastAsiaTheme="minorEastAsia"/>
          <w:iCs/>
        </w:rPr>
        <w:t xml:space="preserve"> vector </w:t>
      </w:r>
      <w:r w:rsidR="00D331E3">
        <w:rPr>
          <w:rFonts w:eastAsiaTheme="minorEastAsia"/>
          <w:iCs/>
        </w:rPr>
        <w:t xml:space="preserve">of </w:t>
      </w:r>
      <w:r w:rsidR="00304D87">
        <w:rPr>
          <w:rFonts w:eastAsiaTheme="minorEastAsia"/>
          <w:iCs/>
        </w:rPr>
        <w:t>dominance substitution effects (Eq. 3).</w:t>
      </w:r>
      <w:r>
        <w:rPr>
          <w:rFonts w:eastAsiaTheme="minorEastAsia"/>
          <w:iCs/>
        </w:rPr>
        <w:t xml:space="preserve"> </w:t>
      </w:r>
      <w:r w:rsidR="00914D5E">
        <w:rPr>
          <w:rFonts w:eastAsiaTheme="minorEastAsia"/>
          <w:iCs/>
        </w:rPr>
        <w:t xml:space="preserve">Assuming that both vectors are </w:t>
      </w:r>
      <w:proofErr w:type="spellStart"/>
      <w:r w:rsidR="00914D5E">
        <w:rPr>
          <w:rFonts w:eastAsiaTheme="minorEastAsia"/>
          <w:iCs/>
        </w:rPr>
        <w:t>i.i.d</w:t>
      </w:r>
      <w:proofErr w:type="spellEnd"/>
      <w:r w:rsidR="00914D5E">
        <w:rPr>
          <w:rFonts w:eastAsiaTheme="minorEastAsia"/>
          <w:iCs/>
        </w:rPr>
        <w:t xml:space="preserve">. random effects,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4D5E" w14:paraId="6FB1C9D6" w14:textId="77777777" w:rsidTr="00F4307D">
        <w:trPr>
          <w:trHeight w:val="666"/>
        </w:trPr>
        <w:tc>
          <w:tcPr>
            <w:tcW w:w="4675" w:type="dxa"/>
            <w:vAlign w:val="center"/>
          </w:tcPr>
          <w:p w14:paraId="18DAD489" w14:textId="58C48C92" w:rsidR="00914D5E" w:rsidRPr="00914D5E" w:rsidRDefault="00914D5E" w:rsidP="00F4307D">
            <w:pPr>
              <w:spacing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w:lastRenderedPageBreak/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oMath>
            </m:oMathPara>
          </w:p>
          <w:p w14:paraId="57CE07AA" w14:textId="0AF5F594" w:rsidR="00914D5E" w:rsidRPr="006065D8" w:rsidRDefault="00914D5E" w:rsidP="00F4307D">
            <w:pPr>
              <w:spacing w:line="360" w:lineRule="auto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1608EE7C" w14:textId="1FDD91FA" w:rsidR="00914D5E" w:rsidRDefault="00914D5E" w:rsidP="00F4307D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[8]</w:t>
            </w:r>
          </w:p>
        </w:tc>
      </w:tr>
    </w:tbl>
    <w:p w14:paraId="13172A36" w14:textId="6615D4F1" w:rsidR="00914D5E" w:rsidRDefault="00914D5E" w:rsidP="00B2319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then the additive and dominance values are multivariate normal</w:t>
      </w:r>
      <w:r w:rsidR="00F61ECB">
        <w:rPr>
          <w:rFonts w:eastAsiaTheme="minorEastAsia"/>
          <w:iCs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4D5E" w14:paraId="6EC787C3" w14:textId="77777777" w:rsidTr="00F4307D">
        <w:trPr>
          <w:trHeight w:val="666"/>
        </w:trPr>
        <w:tc>
          <w:tcPr>
            <w:tcW w:w="4675" w:type="dxa"/>
            <w:vAlign w:val="center"/>
          </w:tcPr>
          <w:p w14:paraId="07C124D7" w14:textId="3748173C" w:rsidR="00914D5E" w:rsidRPr="00914D5E" w:rsidRDefault="00914D5E" w:rsidP="00F4307D">
            <w:pPr>
              <w:spacing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  <w:p w14:paraId="17AF12D7" w14:textId="7826594F" w:rsidR="00914D5E" w:rsidRPr="006065D8" w:rsidRDefault="00914D5E" w:rsidP="00F4307D">
            <w:pPr>
              <w:spacing w:line="360" w:lineRule="auto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5" w:type="dxa"/>
            <w:vAlign w:val="center"/>
          </w:tcPr>
          <w:p w14:paraId="32728791" w14:textId="2DAAC72F" w:rsidR="00914D5E" w:rsidRDefault="00914D5E" w:rsidP="00F4307D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[9]</w:t>
            </w:r>
          </w:p>
        </w:tc>
      </w:tr>
    </w:tbl>
    <w:p w14:paraId="26E85A35" w14:textId="4E8E8B95" w:rsidR="00BC58EC" w:rsidRPr="00914D5E" w:rsidRDefault="00F61ECB" w:rsidP="00B2319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Although I am no longer using a subscript </w:t>
      </w:r>
      <w:r w:rsidRPr="00F61ECB">
        <w:rPr>
          <w:rFonts w:eastAsiaTheme="minorEastAsia"/>
          <w:i/>
        </w:rPr>
        <w:t>m</w:t>
      </w:r>
      <w:r>
        <w:rPr>
          <w:rFonts w:eastAsiaTheme="minorEastAsia"/>
          <w:iCs/>
        </w:rPr>
        <w:t>, b</w:t>
      </w:r>
      <w:r w:rsidR="002E1436">
        <w:rPr>
          <w:rFonts w:eastAsiaTheme="minorEastAsia"/>
        </w:rPr>
        <w:t>oth t</w:t>
      </w:r>
      <w:r w:rsidR="00BC58EC">
        <w:rPr>
          <w:rFonts w:eastAsiaTheme="minorEastAsia"/>
        </w:rPr>
        <w:t>he additive (</w:t>
      </w:r>
      <w:r w:rsidR="00BC58EC" w:rsidRPr="00BC58EC">
        <w:rPr>
          <w:rFonts w:eastAsiaTheme="minorEastAsia"/>
          <w:b/>
          <w:bCs/>
        </w:rPr>
        <w:t>A</w:t>
      </w:r>
      <w:r w:rsidR="00BC58EC">
        <w:rPr>
          <w:rFonts w:eastAsiaTheme="minorEastAsia"/>
        </w:rPr>
        <w:t>) and dominance (</w:t>
      </w:r>
      <w:r w:rsidR="00BC58EC" w:rsidRPr="00BC58EC">
        <w:rPr>
          <w:rFonts w:eastAsiaTheme="minorEastAsia"/>
          <w:b/>
          <w:bCs/>
        </w:rPr>
        <w:t>D</w:t>
      </w:r>
      <w:r w:rsidR="00BC58EC">
        <w:rPr>
          <w:rFonts w:eastAsiaTheme="minorEastAsia"/>
        </w:rPr>
        <w:t xml:space="preserve">) relationship matrices in Eq. </w:t>
      </w:r>
      <w:r>
        <w:rPr>
          <w:rFonts w:eastAsiaTheme="minorEastAsia"/>
        </w:rPr>
        <w:t>9</w:t>
      </w:r>
      <w:r w:rsidR="00BC58EC">
        <w:rPr>
          <w:rFonts w:eastAsiaTheme="minorEastAsia"/>
        </w:rPr>
        <w:t xml:space="preserve"> will be estimated </w:t>
      </w:r>
      <w:r w:rsidR="002E1436">
        <w:rPr>
          <w:rFonts w:eastAsiaTheme="minorEastAsia"/>
        </w:rPr>
        <w:t>from the</w:t>
      </w:r>
      <w:r w:rsidR="00BC58EC">
        <w:rPr>
          <w:rFonts w:eastAsiaTheme="minorEastAsia"/>
        </w:rPr>
        <w:t xml:space="preserve"> markers.</w:t>
      </w:r>
      <w:r w:rsidR="002E1436">
        <w:rPr>
          <w:rFonts w:eastAsiaTheme="minorEastAsia"/>
        </w:rPr>
        <w:t xml:space="preserve"> The expression for</w:t>
      </w:r>
      <w:r w:rsidR="00BC58EC">
        <w:rPr>
          <w:rFonts w:eastAsiaTheme="minorEastAsia"/>
        </w:rPr>
        <w:t xml:space="preserve"> the additive relationship matrix</w:t>
      </w:r>
      <w:r w:rsidR="002E1436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BC58EC" w14:paraId="0B89D11B" w14:textId="77777777" w:rsidTr="00816F3D">
        <w:tc>
          <w:tcPr>
            <w:tcW w:w="4770" w:type="dxa"/>
            <w:vAlign w:val="center"/>
          </w:tcPr>
          <w:p w14:paraId="16207DF9" w14:textId="1FF382AC" w:rsidR="00BC58EC" w:rsidRPr="00BC58EC" w:rsidRDefault="00BC58EC" w:rsidP="00F4307D">
            <w:pPr>
              <w:spacing w:line="360" w:lineRule="auto"/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4590" w:type="dxa"/>
            <w:vAlign w:val="center"/>
          </w:tcPr>
          <w:p w14:paraId="778D873B" w14:textId="4A297EE9" w:rsidR="00BC58EC" w:rsidRPr="00A01BD0" w:rsidRDefault="00BC58EC" w:rsidP="00F4307D">
            <w:pPr>
              <w:spacing w:line="360" w:lineRule="auto"/>
              <w:rPr>
                <w:rFonts w:ascii="Calibri" w:eastAsia="Calibri" w:hAnsi="Calibri" w:cs="Times New Roman"/>
                <w:iCs/>
              </w:rPr>
            </w:pPr>
            <w:r w:rsidRPr="00A01BD0">
              <w:rPr>
                <w:rFonts w:ascii="Calibri" w:eastAsia="Calibri" w:hAnsi="Calibri" w:cs="Times New Roman"/>
                <w:iCs/>
              </w:rPr>
              <w:t>[</w:t>
            </w:r>
            <w:r w:rsidR="00F61ECB">
              <w:rPr>
                <w:rFonts w:ascii="Calibri" w:eastAsia="Calibri" w:hAnsi="Calibri" w:cs="Times New Roman"/>
                <w:iCs/>
              </w:rPr>
              <w:t>10</w:t>
            </w:r>
            <w:r>
              <w:rPr>
                <w:rFonts w:ascii="Calibri" w:eastAsia="Calibri" w:hAnsi="Calibri" w:cs="Times New Roman"/>
                <w:iCs/>
              </w:rPr>
              <w:t>]</w:t>
            </w:r>
          </w:p>
        </w:tc>
      </w:tr>
    </w:tbl>
    <w:p w14:paraId="57498552" w14:textId="290E08E7" w:rsidR="00BC58EC" w:rsidRDefault="002E1436" w:rsidP="00B2319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was derived </w:t>
      </w:r>
      <w:r w:rsidR="00F61ECB">
        <w:rPr>
          <w:rFonts w:eastAsiaTheme="minorEastAsia"/>
        </w:rPr>
        <w:t xml:space="preserve">previously </w:t>
      </w:r>
      <w:r>
        <w:rPr>
          <w:rFonts w:eastAsiaTheme="minorEastAsia"/>
        </w:rPr>
        <w:t>by considering the variance of the additive values. The corresponding expression for the dominance values is</w:t>
      </w:r>
      <w:r w:rsidR="00816F3D">
        <w:rPr>
          <w:rFonts w:eastAsiaTheme="minorEastAsia"/>
        </w:rPr>
        <w:t xml:space="preserve"> (see Eq. 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816F3D" w14:paraId="4E1868C2" w14:textId="77777777" w:rsidTr="00816F3D">
        <w:trPr>
          <w:trHeight w:val="666"/>
        </w:trPr>
        <w:tc>
          <w:tcPr>
            <w:tcW w:w="4770" w:type="dxa"/>
            <w:vAlign w:val="center"/>
          </w:tcPr>
          <w:p w14:paraId="148323BB" w14:textId="77777777" w:rsidR="00816F3D" w:rsidRPr="00816F3D" w:rsidRDefault="00816F3D" w:rsidP="00F4307D">
            <w:pPr>
              <w:spacing w:line="360" w:lineRule="auto"/>
              <w:rPr>
                <w:rFonts w:eastAsia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V </m:t>
                </m:r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2D821C50" w14:textId="25EBBAF5" w:rsidR="00816F3D" w:rsidRPr="005D79AF" w:rsidRDefault="00816F3D" w:rsidP="00F4307D">
            <w:pPr>
              <w:spacing w:line="360" w:lineRule="auto"/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4580" w:type="dxa"/>
            <w:vAlign w:val="center"/>
          </w:tcPr>
          <w:p w14:paraId="7384F0D7" w14:textId="42B74816" w:rsidR="00816F3D" w:rsidRDefault="00816F3D" w:rsidP="00F4307D">
            <w:pPr>
              <w:spacing w:line="360" w:lineRule="auto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[11]</w:t>
            </w:r>
          </w:p>
        </w:tc>
      </w:tr>
    </w:tbl>
    <w:p w14:paraId="291456E7" w14:textId="77777777" w:rsidR="002E1436" w:rsidRDefault="002E1436" w:rsidP="00B2319F">
      <w:pPr>
        <w:spacing w:line="360" w:lineRule="auto"/>
        <w:rPr>
          <w:rFonts w:eastAsiaTheme="minorEastAsia"/>
        </w:rPr>
      </w:pPr>
    </w:p>
    <w:p w14:paraId="1A89C3A6" w14:textId="65BA00F1" w:rsidR="00EC66B3" w:rsidRPr="004544E8" w:rsidRDefault="00EC66B3" w:rsidP="006B2264">
      <w:pPr>
        <w:spacing w:line="360" w:lineRule="auto"/>
        <w:rPr>
          <w:rFonts w:eastAsiaTheme="minorEastAsia"/>
        </w:rPr>
      </w:pPr>
    </w:p>
    <w:sectPr w:rsidR="00EC66B3" w:rsidRPr="004544E8" w:rsidSect="0039595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BAF02" w14:textId="77777777" w:rsidR="00F0400F" w:rsidRDefault="00F0400F" w:rsidP="00BA38F3">
      <w:r>
        <w:separator/>
      </w:r>
    </w:p>
  </w:endnote>
  <w:endnote w:type="continuationSeparator" w:id="0">
    <w:p w14:paraId="1B3107B4" w14:textId="77777777" w:rsidR="00F0400F" w:rsidRDefault="00F0400F" w:rsidP="00BA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0820047"/>
      <w:docPartObj>
        <w:docPartGallery w:val="Page Numbers (Bottom of Page)"/>
        <w:docPartUnique/>
      </w:docPartObj>
    </w:sdtPr>
    <w:sdtContent>
      <w:p w14:paraId="20761401" w14:textId="6C7C134B" w:rsidR="00BA38F3" w:rsidRDefault="00BA38F3" w:rsidP="00B07A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6E041" w14:textId="77777777" w:rsidR="00BA38F3" w:rsidRDefault="00BA3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0466883"/>
      <w:docPartObj>
        <w:docPartGallery w:val="Page Numbers (Bottom of Page)"/>
        <w:docPartUnique/>
      </w:docPartObj>
    </w:sdtPr>
    <w:sdtContent>
      <w:p w14:paraId="6E25EA53" w14:textId="3FE2B3C1" w:rsidR="00BA38F3" w:rsidRDefault="00BA38F3" w:rsidP="00B07A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26E57AA" w14:textId="77777777" w:rsidR="00BA38F3" w:rsidRDefault="00BA3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99AB1" w14:textId="77777777" w:rsidR="00F0400F" w:rsidRDefault="00F0400F" w:rsidP="00BA38F3">
      <w:r>
        <w:separator/>
      </w:r>
    </w:p>
  </w:footnote>
  <w:footnote w:type="continuationSeparator" w:id="0">
    <w:p w14:paraId="54148568" w14:textId="77777777" w:rsidR="00F0400F" w:rsidRDefault="00F0400F" w:rsidP="00BA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9109D"/>
    <w:multiLevelType w:val="hybridMultilevel"/>
    <w:tmpl w:val="6B004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F2"/>
    <w:rsid w:val="00005727"/>
    <w:rsid w:val="000432BD"/>
    <w:rsid w:val="000561B0"/>
    <w:rsid w:val="00062ABB"/>
    <w:rsid w:val="0006586B"/>
    <w:rsid w:val="00077707"/>
    <w:rsid w:val="00097CC3"/>
    <w:rsid w:val="000C446F"/>
    <w:rsid w:val="000E2B7D"/>
    <w:rsid w:val="00171F75"/>
    <w:rsid w:val="001737A4"/>
    <w:rsid w:val="001B256A"/>
    <w:rsid w:val="001F46B5"/>
    <w:rsid w:val="00201109"/>
    <w:rsid w:val="002120CD"/>
    <w:rsid w:val="00247597"/>
    <w:rsid w:val="002A1B62"/>
    <w:rsid w:val="002A2DDC"/>
    <w:rsid w:val="002B54A1"/>
    <w:rsid w:val="002E1436"/>
    <w:rsid w:val="002F5F5D"/>
    <w:rsid w:val="00304D87"/>
    <w:rsid w:val="00324FE6"/>
    <w:rsid w:val="00327ADC"/>
    <w:rsid w:val="003324E7"/>
    <w:rsid w:val="00340A8A"/>
    <w:rsid w:val="00350473"/>
    <w:rsid w:val="00352481"/>
    <w:rsid w:val="00374B7B"/>
    <w:rsid w:val="00375E81"/>
    <w:rsid w:val="00395950"/>
    <w:rsid w:val="003A0994"/>
    <w:rsid w:val="003A09EE"/>
    <w:rsid w:val="00414A8E"/>
    <w:rsid w:val="00433696"/>
    <w:rsid w:val="004544E8"/>
    <w:rsid w:val="00492CF2"/>
    <w:rsid w:val="004A5115"/>
    <w:rsid w:val="004A6667"/>
    <w:rsid w:val="00532A41"/>
    <w:rsid w:val="0053725A"/>
    <w:rsid w:val="00537304"/>
    <w:rsid w:val="00561603"/>
    <w:rsid w:val="0058736A"/>
    <w:rsid w:val="005A3545"/>
    <w:rsid w:val="00610AD8"/>
    <w:rsid w:val="00613327"/>
    <w:rsid w:val="006B2264"/>
    <w:rsid w:val="006B273A"/>
    <w:rsid w:val="006C5679"/>
    <w:rsid w:val="006F3117"/>
    <w:rsid w:val="00722624"/>
    <w:rsid w:val="00755971"/>
    <w:rsid w:val="007A645B"/>
    <w:rsid w:val="007B71DA"/>
    <w:rsid w:val="007C4DBE"/>
    <w:rsid w:val="008041D8"/>
    <w:rsid w:val="00816F3D"/>
    <w:rsid w:val="0082624D"/>
    <w:rsid w:val="008B4231"/>
    <w:rsid w:val="008D7AF6"/>
    <w:rsid w:val="008E414C"/>
    <w:rsid w:val="008F00AC"/>
    <w:rsid w:val="00914D5E"/>
    <w:rsid w:val="00915DD5"/>
    <w:rsid w:val="00965FFD"/>
    <w:rsid w:val="00977568"/>
    <w:rsid w:val="009E28E7"/>
    <w:rsid w:val="009F0E66"/>
    <w:rsid w:val="00A01BD0"/>
    <w:rsid w:val="00A12275"/>
    <w:rsid w:val="00A30B7B"/>
    <w:rsid w:val="00A54300"/>
    <w:rsid w:val="00A90581"/>
    <w:rsid w:val="00A941DB"/>
    <w:rsid w:val="00AD0433"/>
    <w:rsid w:val="00B10DEC"/>
    <w:rsid w:val="00B2319F"/>
    <w:rsid w:val="00B4474D"/>
    <w:rsid w:val="00B6713D"/>
    <w:rsid w:val="00B94E40"/>
    <w:rsid w:val="00BA38F3"/>
    <w:rsid w:val="00BB358D"/>
    <w:rsid w:val="00BB3DD6"/>
    <w:rsid w:val="00BB51C7"/>
    <w:rsid w:val="00BC2B7F"/>
    <w:rsid w:val="00BC58EC"/>
    <w:rsid w:val="00BF51C1"/>
    <w:rsid w:val="00C457DC"/>
    <w:rsid w:val="00D065C6"/>
    <w:rsid w:val="00D331E3"/>
    <w:rsid w:val="00D737B4"/>
    <w:rsid w:val="00D86941"/>
    <w:rsid w:val="00DB4393"/>
    <w:rsid w:val="00DC0A1F"/>
    <w:rsid w:val="00DE0070"/>
    <w:rsid w:val="00E44D96"/>
    <w:rsid w:val="00E529FE"/>
    <w:rsid w:val="00E55AD2"/>
    <w:rsid w:val="00E77A51"/>
    <w:rsid w:val="00E85CFA"/>
    <w:rsid w:val="00EB3003"/>
    <w:rsid w:val="00EC14F2"/>
    <w:rsid w:val="00EC3389"/>
    <w:rsid w:val="00EC66B3"/>
    <w:rsid w:val="00ED22A8"/>
    <w:rsid w:val="00ED6E50"/>
    <w:rsid w:val="00EE0FA4"/>
    <w:rsid w:val="00F01507"/>
    <w:rsid w:val="00F0400F"/>
    <w:rsid w:val="00F31E24"/>
    <w:rsid w:val="00F51BB3"/>
    <w:rsid w:val="00F61ECB"/>
    <w:rsid w:val="00F67375"/>
    <w:rsid w:val="00F91E9C"/>
    <w:rsid w:val="00FC307C"/>
    <w:rsid w:val="00FC536D"/>
    <w:rsid w:val="00FF4DC4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D4C41"/>
  <w14:defaultImageDpi w14:val="32767"/>
  <w15:chartTrackingRefBased/>
  <w15:docId w15:val="{C0826290-601C-364C-A150-0E4DFB4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115"/>
    <w:rPr>
      <w:color w:val="808080"/>
    </w:rPr>
  </w:style>
  <w:style w:type="table" w:styleId="TableGrid">
    <w:name w:val="Table Grid"/>
    <w:basedOn w:val="TableNormal"/>
    <w:uiPriority w:val="39"/>
    <w:rsid w:val="0043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6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3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8F3"/>
  </w:style>
  <w:style w:type="character" w:styleId="PageNumber">
    <w:name w:val="page number"/>
    <w:basedOn w:val="DefaultParagraphFont"/>
    <w:uiPriority w:val="99"/>
    <w:semiHidden/>
    <w:unhideWhenUsed/>
    <w:rsid w:val="00BA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Endelman</dc:creator>
  <cp:keywords/>
  <dc:description/>
  <cp:lastModifiedBy>Jeffrey Endelman</cp:lastModifiedBy>
  <cp:revision>51</cp:revision>
  <dcterms:created xsi:type="dcterms:W3CDTF">2020-02-26T23:29:00Z</dcterms:created>
  <dcterms:modified xsi:type="dcterms:W3CDTF">2020-03-30T13:22:00Z</dcterms:modified>
</cp:coreProperties>
</file>