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68EAE" w14:textId="0E6F8AD5" w:rsidR="00A90581" w:rsidRDefault="00134F35" w:rsidP="00A90581">
      <w:pPr>
        <w:jc w:val="center"/>
        <w:rPr>
          <w:b/>
          <w:bCs/>
        </w:rPr>
      </w:pPr>
      <w:r>
        <w:rPr>
          <w:b/>
          <w:bCs/>
        </w:rPr>
        <w:t>Hybrid Prediction</w:t>
      </w:r>
    </w:p>
    <w:p w14:paraId="398C5B7D" w14:textId="77777777" w:rsidR="00A90581" w:rsidRDefault="00A90581" w:rsidP="00A90581">
      <w:pPr>
        <w:jc w:val="center"/>
      </w:pPr>
      <w:r w:rsidRPr="00177612">
        <w:t>Jeffrey Endelman</w:t>
      </w:r>
    </w:p>
    <w:p w14:paraId="589E9FAD" w14:textId="77777777" w:rsidR="00A90581" w:rsidRPr="00177612" w:rsidRDefault="00A90581" w:rsidP="00A90581">
      <w:pPr>
        <w:jc w:val="center"/>
      </w:pPr>
      <w:proofErr w:type="spellStart"/>
      <w:r>
        <w:t>Agron</w:t>
      </w:r>
      <w:proofErr w:type="spellEnd"/>
      <w:r>
        <w:t>/</w:t>
      </w:r>
      <w:proofErr w:type="spellStart"/>
      <w:r>
        <w:t>Hort</w:t>
      </w:r>
      <w:proofErr w:type="spellEnd"/>
      <w:r>
        <w:t xml:space="preserve"> 812, Spring 2020</w:t>
      </w:r>
    </w:p>
    <w:p w14:paraId="51BEE0A6" w14:textId="77777777" w:rsidR="00A90581" w:rsidRDefault="00A90581" w:rsidP="00A90581">
      <w:pPr>
        <w:spacing w:line="360" w:lineRule="auto"/>
        <w:jc w:val="center"/>
        <w:rPr>
          <w:b/>
          <w:bCs/>
        </w:rPr>
      </w:pPr>
    </w:p>
    <w:p w14:paraId="5F5AB6A9" w14:textId="2170F3DC" w:rsidR="003A09EE" w:rsidRPr="00134F35" w:rsidRDefault="00134F35" w:rsidP="00BB51C7">
      <w:pPr>
        <w:spacing w:line="360" w:lineRule="auto"/>
        <w:rPr>
          <w:rFonts w:eastAsiaTheme="minorEastAsia"/>
        </w:rPr>
      </w:pPr>
      <w:r>
        <w:rPr>
          <w:rFonts w:ascii="Calibri" w:hAnsi="Calibri" w:cs="Calibri"/>
        </w:rPr>
        <w:t>Genomic prediction of hybrid performance is based on the traditional idea of general and specific combining ability</w:t>
      </w:r>
      <w:r w:rsidR="00672937">
        <w:rPr>
          <w:rFonts w:ascii="Calibri" w:hAnsi="Calibri" w:cs="Calibri"/>
        </w:rPr>
        <w:t xml:space="preserve"> (GCA, SCA)</w:t>
      </w:r>
      <w:r>
        <w:rPr>
          <w:rFonts w:ascii="Calibri" w:hAnsi="Calibri" w:cs="Calibri"/>
        </w:rPr>
        <w:t xml:space="preserve">. </w:t>
      </w:r>
      <w:r>
        <w:t>The genotypic value of</w:t>
      </w:r>
      <w:r>
        <w:t xml:space="preserve"> hybrid</w:t>
      </w:r>
      <w:r>
        <w:t xml:space="preserve"> </w:t>
      </w:r>
      <m:oMath>
        <m:r>
          <w:rPr>
            <w:rFonts w:ascii="Cambria Math" w:hAnsi="Cambria Math"/>
          </w:rPr>
          <m:t>ij</m:t>
        </m:r>
      </m:oMath>
      <w:r>
        <w:rPr>
          <w:rFonts w:eastAsiaTheme="minorEastAsia"/>
        </w:rPr>
        <w:t xml:space="preserve">, created from </w:t>
      </w:r>
      <w:proofErr w:type="spellStart"/>
      <w:r>
        <w:rPr>
          <w:rFonts w:eastAsiaTheme="minorEastAsia"/>
        </w:rPr>
        <w:t>inbreds</w:t>
      </w:r>
      <w:proofErr w:type="spellEnd"/>
      <w:r>
        <w:rPr>
          <w:rFonts w:eastAsiaTheme="minorEastAsia"/>
        </w:rPr>
        <w:t xml:space="preserve"> </w:t>
      </w:r>
      <w:proofErr w:type="spellStart"/>
      <w:r w:rsidRPr="00134F35"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and </w:t>
      </w:r>
      <w:r w:rsidRPr="00134F35">
        <w:rPr>
          <w:rFonts w:eastAsiaTheme="minorEastAsia"/>
          <w:i/>
          <w:iCs/>
        </w:rPr>
        <w:t>j</w:t>
      </w:r>
      <w:r>
        <w:rPr>
          <w:rFonts w:eastAsiaTheme="minorEastAsia"/>
        </w:rPr>
        <w:t>,</w:t>
      </w:r>
      <w:r>
        <w:t xml:space="preserve"> is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>. The</w:t>
      </w:r>
      <w:r w:rsidR="00672937">
        <w:rPr>
          <w:rFonts w:eastAsiaTheme="minorEastAsia"/>
        </w:rPr>
        <w:t xml:space="preserve"> linear</w:t>
      </w:r>
      <w:r>
        <w:rPr>
          <w:rFonts w:eastAsiaTheme="minorEastAsia"/>
        </w:rPr>
        <w:t xml:space="preserve"> model </w:t>
      </w:r>
      <w:r w:rsidR="00D71703">
        <w:rPr>
          <w:rFonts w:eastAsiaTheme="minorEastAsia"/>
        </w:rPr>
        <w:t xml:space="preserve">looks </w:t>
      </w:r>
      <w:r>
        <w:rPr>
          <w:rFonts w:eastAsiaTheme="minorEastAsia"/>
        </w:rPr>
        <w:t xml:space="preserve">similar to the decomposition into additive and dominance effects introduced previously. </w:t>
      </w:r>
      <w:r w:rsidR="00D71703">
        <w:rPr>
          <w:rFonts w:eastAsiaTheme="minorEastAsia"/>
        </w:rPr>
        <w:t>One</w:t>
      </w:r>
      <w:r>
        <w:rPr>
          <w:rFonts w:eastAsiaTheme="minorEastAsia"/>
        </w:rPr>
        <w:t xml:space="preserve"> difference is that, to allow for differences between heterotic groups, the maternal and paternal additive effects are not necessarily drawn from the same distribution: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40"/>
      </w:tblGrid>
      <w:tr w:rsidR="00433696" w14:paraId="5A9A0A07" w14:textId="77777777" w:rsidTr="002A1B62">
        <w:trPr>
          <w:trHeight w:val="693"/>
        </w:trPr>
        <w:tc>
          <w:tcPr>
            <w:tcW w:w="5310" w:type="dxa"/>
            <w:vAlign w:val="center"/>
          </w:tcPr>
          <w:p w14:paraId="3B10F6F8" w14:textId="46A5C819" w:rsidR="00433696" w:rsidRPr="00433696" w:rsidRDefault="000650F2" w:rsidP="00433696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μ+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040" w:type="dxa"/>
            <w:vAlign w:val="center"/>
          </w:tcPr>
          <w:p w14:paraId="14DF6E60" w14:textId="060B4FB3" w:rsidR="00433696" w:rsidRDefault="00433696" w:rsidP="00433696">
            <w:pPr>
              <w:spacing w:after="120" w:line="360" w:lineRule="auto"/>
            </w:pPr>
            <w:r>
              <w:t>[1]</w:t>
            </w:r>
          </w:p>
        </w:tc>
      </w:tr>
    </w:tbl>
    <w:p w14:paraId="61C58EFE" w14:textId="4C360792" w:rsidR="00694C7F" w:rsidRPr="002A1B62" w:rsidRDefault="00134F35" w:rsidP="00694C7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In Eq. 1, </w:t>
      </w:r>
      <w:r w:rsidR="00B10DEC" w:rsidRPr="00327ADC">
        <w:rPr>
          <w:rFonts w:ascii="Symbol" w:eastAsiaTheme="minorEastAsia" w:hAnsi="Symbol"/>
        </w:rPr>
        <w:t></w:t>
      </w:r>
      <w:proofErr w:type="spellStart"/>
      <w:r w:rsidR="00B10DEC" w:rsidRPr="00B10DEC">
        <w:rPr>
          <w:rFonts w:eastAsiaTheme="minorEastAsia"/>
          <w:i/>
          <w:vertAlign w:val="subscript"/>
        </w:rPr>
        <w:t>i</w:t>
      </w:r>
      <w:proofErr w:type="spellEnd"/>
      <w:r w:rsidR="00B10DEC">
        <w:rPr>
          <w:rFonts w:eastAsiaTheme="minorEastAsia"/>
        </w:rPr>
        <w:t xml:space="preserve"> is </w:t>
      </w:r>
      <w:r w:rsidR="00B10DEC" w:rsidRPr="00672937">
        <w:rPr>
          <w:rFonts w:eastAsiaTheme="minorEastAsia"/>
        </w:rPr>
        <w:t xml:space="preserve">the </w:t>
      </w:r>
      <w:r w:rsidRPr="00672937">
        <w:rPr>
          <w:rFonts w:eastAsiaTheme="minorEastAsia"/>
        </w:rPr>
        <w:t>GCA</w:t>
      </w:r>
      <w:r>
        <w:rPr>
          <w:rFonts w:eastAsiaTheme="minorEastAsia"/>
        </w:rPr>
        <w:t xml:space="preserve"> of parent</w:t>
      </w:r>
      <w:r w:rsidR="00B10D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B10D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from group 1,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the GCA of parent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from group 2. </w:t>
      </w:r>
      <w:r w:rsidR="00672937">
        <w:rPr>
          <w:rFonts w:eastAsiaTheme="minorEastAsia"/>
        </w:rPr>
        <w:t>T</w:t>
      </w:r>
      <w:r w:rsidR="00B94E40">
        <w:rPr>
          <w:rFonts w:eastAsiaTheme="minorEastAsia"/>
        </w:rPr>
        <w:t xml:space="preserve">he </w:t>
      </w:r>
      <w:r w:rsidR="00433696">
        <w:rPr>
          <w:rFonts w:eastAsiaTheme="minorEastAsia"/>
        </w:rPr>
        <w:t xml:space="preserve">residual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33696">
        <w:rPr>
          <w:rFonts w:eastAsiaTheme="minorEastAsia"/>
        </w:rPr>
        <w:t xml:space="preserve"> is the </w:t>
      </w:r>
      <w:r w:rsidR="00672937" w:rsidRPr="00672937">
        <w:rPr>
          <w:rFonts w:eastAsiaTheme="minorEastAsia"/>
        </w:rPr>
        <w:t>SCA</w:t>
      </w:r>
      <w:r w:rsidR="00433696">
        <w:rPr>
          <w:rFonts w:eastAsiaTheme="minorEastAsia"/>
        </w:rPr>
        <w:t>.</w:t>
      </w:r>
      <w:r w:rsidR="002A1B62">
        <w:rPr>
          <w:rFonts w:eastAsiaTheme="minorEastAsia"/>
        </w:rPr>
        <w:t xml:space="preserve"> </w:t>
      </w:r>
      <w:r w:rsidR="00694C7F">
        <w:rPr>
          <w:rFonts w:eastAsiaTheme="minorEastAsia"/>
        </w:rPr>
        <w:t xml:space="preserve">If the </w:t>
      </w:r>
      <w:proofErr w:type="spellStart"/>
      <w:r w:rsidR="00694C7F">
        <w:rPr>
          <w:rFonts w:eastAsiaTheme="minorEastAsia"/>
        </w:rPr>
        <w:t>inbreds</w:t>
      </w:r>
      <w:proofErr w:type="spellEnd"/>
      <w:r w:rsidR="00694C7F">
        <w:rPr>
          <w:rFonts w:eastAsiaTheme="minorEastAsia"/>
        </w:rPr>
        <w:t xml:space="preserve"> are derived from population</w:t>
      </w:r>
      <w:r w:rsidR="00694C7F">
        <w:rPr>
          <w:rFonts w:eastAsiaTheme="minorEastAsia"/>
        </w:rPr>
        <w:t>s</w:t>
      </w:r>
      <w:r w:rsidR="00694C7F">
        <w:rPr>
          <w:rFonts w:eastAsiaTheme="minorEastAsia"/>
        </w:rPr>
        <w:t xml:space="preserve"> in panmictic and linkage equilibrium</w:t>
      </w:r>
      <w:r w:rsidR="00694C7F">
        <w:t xml:space="preserve">, then genetic variance </w:t>
      </w:r>
      <w:r w:rsidR="003A4DDE">
        <w:t>can be decomposed as</w:t>
      </w:r>
      <w:r w:rsidR="00694C7F">
        <w:t xml:space="preserve"> </w:t>
      </w:r>
      <w:bookmarkStart w:id="0" w:name="_GoBack"/>
      <w:bookmarkEnd w:id="0"/>
    </w:p>
    <w:p w14:paraId="730B9A69" w14:textId="194DAAFE" w:rsidR="00694C7F" w:rsidRPr="002A1B62" w:rsidRDefault="00694C7F" w:rsidP="00694C7F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770"/>
      </w:tblGrid>
      <w:tr w:rsidR="00694C7F" w14:paraId="7C3145C8" w14:textId="77777777" w:rsidTr="00F4307D">
        <w:trPr>
          <w:trHeight w:val="693"/>
        </w:trPr>
        <w:tc>
          <w:tcPr>
            <w:tcW w:w="5580" w:type="dxa"/>
            <w:vAlign w:val="center"/>
          </w:tcPr>
          <w:p w14:paraId="1F2F9CD1" w14:textId="144D4F24" w:rsidR="00694C7F" w:rsidRPr="00694C7F" w:rsidRDefault="00694C7F" w:rsidP="00F4307D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GCA1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14:paraId="74E1C1A9" w14:textId="4C95C0E5" w:rsidR="00694C7F" w:rsidRPr="00694C7F" w:rsidRDefault="00694C7F" w:rsidP="00F4307D">
            <w:pPr>
              <w:spacing w:line="360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GCA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  <w:p w14:paraId="009FBC58" w14:textId="438BCCE2" w:rsidR="00694C7F" w:rsidRPr="00694C7F" w:rsidRDefault="00694C7F" w:rsidP="00F4307D">
            <w:pPr>
              <w:spacing w:line="360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SCA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</w:tc>
        <w:tc>
          <w:tcPr>
            <w:tcW w:w="3770" w:type="dxa"/>
            <w:vAlign w:val="center"/>
          </w:tcPr>
          <w:p w14:paraId="0B093B36" w14:textId="77777777" w:rsidR="00694C7F" w:rsidRDefault="00694C7F" w:rsidP="00F4307D">
            <w:pPr>
              <w:spacing w:after="120" w:line="360" w:lineRule="auto"/>
            </w:pPr>
            <w:r>
              <w:t>[2]</w:t>
            </w:r>
          </w:p>
        </w:tc>
      </w:tr>
    </w:tbl>
    <w:p w14:paraId="70673F5B" w14:textId="77777777" w:rsidR="00837577" w:rsidRDefault="00837577" w:rsidP="00915DD5">
      <w:pPr>
        <w:spacing w:line="360" w:lineRule="auto"/>
        <w:rPr>
          <w:rFonts w:eastAsiaTheme="minorEastAsia"/>
        </w:rPr>
      </w:pPr>
    </w:p>
    <w:p w14:paraId="3B637533" w14:textId="2B5B80C1" w:rsidR="00694C7F" w:rsidRDefault="00694C7F" w:rsidP="00915DD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The covariance between the GCA effects for </w:t>
      </w:r>
      <w:r w:rsidR="00D71703">
        <w:rPr>
          <w:rFonts w:eastAsiaTheme="minorEastAsia"/>
        </w:rPr>
        <w:t xml:space="preserve">two </w:t>
      </w:r>
      <w:proofErr w:type="spellStart"/>
      <w:r>
        <w:rPr>
          <w:rFonts w:eastAsiaTheme="minorEastAsia"/>
        </w:rPr>
        <w:t>inbreds</w:t>
      </w:r>
      <w:proofErr w:type="spellEnd"/>
      <w:r>
        <w:rPr>
          <w:rFonts w:eastAsiaTheme="minorEastAsia"/>
        </w:rPr>
        <w:t xml:space="preserve"> </w:t>
      </w:r>
      <w:r w:rsidR="00D71703">
        <w:rPr>
          <w:rFonts w:eastAsiaTheme="minorEastAsia"/>
        </w:rPr>
        <w:t xml:space="preserve">(e.g., </w:t>
      </w:r>
      <m:oMath>
        <m:r>
          <w:rPr>
            <w:rFonts w:ascii="Cambria Math" w:eastAsiaTheme="minorEastAsia" w:hAnsi="Cambria Math"/>
          </w:rPr>
          <m:t xml:space="preserve">i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71703">
        <w:rPr>
          <w:rFonts w:eastAsiaTheme="minorEastAsia"/>
        </w:rPr>
        <w:t xml:space="preserve">) </w:t>
      </w:r>
      <w:r>
        <w:rPr>
          <w:rFonts w:eastAsiaTheme="minorEastAsia"/>
        </w:rPr>
        <w:t>from the same group can be expressed in terms of their kinship or additive relationship: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694C7F" w14:paraId="3EC551BC" w14:textId="77777777" w:rsidTr="00AC7CE9">
        <w:trPr>
          <w:trHeight w:val="693"/>
        </w:trPr>
        <w:tc>
          <w:tcPr>
            <w:tcW w:w="5670" w:type="dxa"/>
            <w:vAlign w:val="center"/>
          </w:tcPr>
          <w:p w14:paraId="6EED4029" w14:textId="628E6B56" w:rsidR="00694C7F" w:rsidRPr="00694C7F" w:rsidRDefault="00694C7F" w:rsidP="00F4307D">
            <w:pPr>
              <w:spacing w:after="120"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,i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GCA1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box>
                  <m: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box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,i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GCA1</m:t>
                    </m:r>
                  </m:sub>
                </m:sSub>
              </m:oMath>
            </m:oMathPara>
          </w:p>
          <w:p w14:paraId="261F07D8" w14:textId="5CFD93D6" w:rsidR="00694C7F" w:rsidRPr="00433696" w:rsidRDefault="00694C7F" w:rsidP="00F4307D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box>
                  <m: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box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GCA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80" w:type="dxa"/>
            <w:vAlign w:val="center"/>
          </w:tcPr>
          <w:p w14:paraId="0F7CB8AC" w14:textId="401BCDBB" w:rsidR="00694C7F" w:rsidRDefault="00694C7F" w:rsidP="00F4307D">
            <w:pPr>
              <w:spacing w:after="120" w:line="360" w:lineRule="auto"/>
            </w:pPr>
            <w:r>
              <w:t>[</w:t>
            </w:r>
            <w:r w:rsidR="00AC7CE9">
              <w:t>3</w:t>
            </w:r>
            <w:r>
              <w:t>]</w:t>
            </w:r>
          </w:p>
        </w:tc>
      </w:tr>
    </w:tbl>
    <w:p w14:paraId="5584CD26" w14:textId="6B26118D" w:rsidR="00694C7F" w:rsidRDefault="00D71703" w:rsidP="00915DD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The rationale behind Eq. 3 is that the covariance between the GCA effects is nonzero only when the genes in the two i</w:t>
      </w:r>
      <w:proofErr w:type="spellStart"/>
      <w:r>
        <w:rPr>
          <w:rFonts w:eastAsiaTheme="minorEastAsia"/>
        </w:rPr>
        <w:t>nbreds</w:t>
      </w:r>
      <w:proofErr w:type="spellEnd"/>
      <w:r>
        <w:rPr>
          <w:rFonts w:eastAsiaTheme="minorEastAsia"/>
        </w:rPr>
        <w:t xml:space="preserve"> are IBD. By the same logic, the covariance between the SCA effects depends on the product of the kinship coefficients for both pairs of </w:t>
      </w:r>
      <w:proofErr w:type="spellStart"/>
      <w:r>
        <w:rPr>
          <w:rFonts w:eastAsiaTheme="minorEastAsia"/>
        </w:rPr>
        <w:t>inbreds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D71703" w14:paraId="4AF5009D" w14:textId="77777777" w:rsidTr="00F4307D">
        <w:trPr>
          <w:trHeight w:val="693"/>
        </w:trPr>
        <w:tc>
          <w:tcPr>
            <w:tcW w:w="5670" w:type="dxa"/>
            <w:vAlign w:val="center"/>
          </w:tcPr>
          <w:p w14:paraId="1481005F" w14:textId="1150375F" w:rsidR="00D71703" w:rsidRPr="00D71703" w:rsidRDefault="00D71703" w:rsidP="00F4307D">
            <w:pPr>
              <w:spacing w:after="120"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,i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SCA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box>
                  <m: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box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,i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,j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SCA</m:t>
                    </m:r>
                  </m:sub>
                </m:sSub>
              </m:oMath>
            </m:oMathPara>
          </w:p>
        </w:tc>
        <w:tc>
          <w:tcPr>
            <w:tcW w:w="3680" w:type="dxa"/>
            <w:vAlign w:val="center"/>
          </w:tcPr>
          <w:p w14:paraId="33F7F815" w14:textId="1B3B6971" w:rsidR="00D71703" w:rsidRDefault="00D71703" w:rsidP="00F4307D">
            <w:pPr>
              <w:spacing w:after="120" w:line="360" w:lineRule="auto"/>
            </w:pPr>
            <w:r>
              <w:t>[</w:t>
            </w:r>
            <w:r>
              <w:t>4</w:t>
            </w:r>
            <w:r>
              <w:t>]</w:t>
            </w:r>
          </w:p>
        </w:tc>
      </w:tr>
    </w:tbl>
    <w:p w14:paraId="5E1C353D" w14:textId="1CF93C46" w:rsidR="00D71703" w:rsidRDefault="00D71703" w:rsidP="00915DD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Eq. 4 represents another difference between the hybrid and standard one-locus model. In the latter, the covariance between the dominance effects has a different mathematical form. A better analogy for SCA is additive x additive epistasis.</w:t>
      </w:r>
      <w:r w:rsidR="003255C3">
        <w:rPr>
          <w:rFonts w:eastAsiaTheme="minorEastAsia"/>
        </w:rPr>
        <w:t xml:space="preserve"> </w:t>
      </w:r>
    </w:p>
    <w:p w14:paraId="38C33790" w14:textId="77777777" w:rsidR="00D71703" w:rsidRDefault="00D71703" w:rsidP="00915DD5">
      <w:pPr>
        <w:spacing w:line="360" w:lineRule="auto"/>
        <w:rPr>
          <w:rFonts w:eastAsiaTheme="minorEastAsia"/>
        </w:rPr>
      </w:pPr>
    </w:p>
    <w:p w14:paraId="3DAA76C6" w14:textId="43F67EB1" w:rsidR="00672937" w:rsidRDefault="00CE7C5C" w:rsidP="00915DD5">
      <w:pPr>
        <w:spacing w:line="360" w:lineRule="auto"/>
        <w:rPr>
          <w:rFonts w:eastAsiaTheme="minorEastAsia"/>
          <w:b/>
          <w:bCs/>
        </w:rPr>
      </w:pPr>
      <w:r w:rsidRPr="00CE7C5C">
        <w:rPr>
          <w:rFonts w:eastAsiaTheme="minorEastAsia"/>
          <w:b/>
          <w:bCs/>
        </w:rPr>
        <w:t>Estimation from Markers</w:t>
      </w:r>
    </w:p>
    <w:p w14:paraId="62673739" w14:textId="2E7FE19F" w:rsidR="00837577" w:rsidRDefault="00837577" w:rsidP="00915DD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One approach to genomic prediction of hybrid performance is to use Eq. 3-4 but replace the pedigree relationship matrix with the genomic marker relationship matrix. The vector equation corresponding to Eq. 1 is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3590"/>
      </w:tblGrid>
      <w:tr w:rsidR="00672937" w14:paraId="417420CF" w14:textId="77777777" w:rsidTr="009078D5">
        <w:trPr>
          <w:trHeight w:val="693"/>
        </w:trPr>
        <w:tc>
          <w:tcPr>
            <w:tcW w:w="5760" w:type="dxa"/>
            <w:vAlign w:val="center"/>
          </w:tcPr>
          <w:p w14:paraId="153D28BE" w14:textId="335F64D2" w:rsidR="00672937" w:rsidRPr="00433696" w:rsidRDefault="00672937" w:rsidP="00F4307D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3590" w:type="dxa"/>
            <w:vAlign w:val="center"/>
          </w:tcPr>
          <w:p w14:paraId="6650B672" w14:textId="00608588" w:rsidR="00672937" w:rsidRDefault="00672937" w:rsidP="00F4307D">
            <w:pPr>
              <w:spacing w:after="120" w:line="360" w:lineRule="auto"/>
            </w:pPr>
            <w:r>
              <w:t>[</w:t>
            </w:r>
            <w:r w:rsidR="00837577">
              <w:t>5</w:t>
            </w:r>
            <w:r>
              <w:t>]</w:t>
            </w:r>
          </w:p>
        </w:tc>
      </w:tr>
    </w:tbl>
    <w:p w14:paraId="1A89C3A6" w14:textId="0A1960E7" w:rsidR="00EC66B3" w:rsidRDefault="00837577" w:rsidP="006B226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The GCA and SCA effects are multivariate normal with the following covariance structure: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3590"/>
      </w:tblGrid>
      <w:tr w:rsidR="00837577" w14:paraId="42D05114" w14:textId="77777777" w:rsidTr="00F4307D">
        <w:trPr>
          <w:trHeight w:val="693"/>
        </w:trPr>
        <w:tc>
          <w:tcPr>
            <w:tcW w:w="5760" w:type="dxa"/>
            <w:vAlign w:val="center"/>
          </w:tcPr>
          <w:p w14:paraId="75741C85" w14:textId="2A76F7CB" w:rsidR="00837577" w:rsidRPr="00914D5E" w:rsidRDefault="00837577" w:rsidP="00837577">
            <w:pPr>
              <w:spacing w:line="360" w:lineRule="auto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GCA1</m:t>
                        </m:r>
                      </m:sub>
                    </m:sSub>
                  </m:e>
                </m:d>
              </m:oMath>
            </m:oMathPara>
          </w:p>
          <w:p w14:paraId="7C77F27C" w14:textId="0696005A" w:rsidR="00837577" w:rsidRPr="00914D5E" w:rsidRDefault="00837577" w:rsidP="00837577">
            <w:pPr>
              <w:spacing w:line="360" w:lineRule="auto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GCA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154381B9" w14:textId="3C6B61FE" w:rsidR="00837577" w:rsidRPr="00837577" w:rsidRDefault="00837577" w:rsidP="00837577">
            <w:pPr>
              <w:spacing w:line="360" w:lineRule="auto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box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⨂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SCA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90" w:type="dxa"/>
            <w:vAlign w:val="center"/>
          </w:tcPr>
          <w:p w14:paraId="59D45BBD" w14:textId="4B21A13C" w:rsidR="00837577" w:rsidRDefault="00837577" w:rsidP="00F4307D">
            <w:pPr>
              <w:spacing w:after="120" w:line="360" w:lineRule="auto"/>
            </w:pPr>
            <w:r>
              <w:t>[</w:t>
            </w:r>
            <w:r>
              <w:t>6</w:t>
            </w:r>
            <w:r>
              <w:t>]</w:t>
            </w:r>
          </w:p>
        </w:tc>
      </w:tr>
    </w:tbl>
    <w:p w14:paraId="30F80F9B" w14:textId="72E3514C" w:rsidR="00837577" w:rsidRPr="008D3613" w:rsidRDefault="00837577" w:rsidP="006B2264">
      <w:pPr>
        <w:spacing w:line="360" w:lineRule="auto"/>
        <w:rPr>
          <w:rFonts w:eastAsiaTheme="minorEastAsia"/>
          <w:bCs/>
        </w:rPr>
      </w:pPr>
      <w:r>
        <w:rPr>
          <w:rFonts w:eastAsiaTheme="minorEastAsia"/>
        </w:rPr>
        <w:t xml:space="preserve">The symbol </w:t>
      </w:r>
      <m:oMath>
        <m:r>
          <m:rPr>
            <m:sty m:val="p"/>
          </m:rPr>
          <w:rPr>
            <w:rFonts w:ascii="Cambria Math" w:hAnsi="Cambria Math"/>
          </w:rPr>
          <m:t>⨂</m:t>
        </m:r>
      </m:oMath>
      <w:r>
        <w:rPr>
          <w:rFonts w:eastAsiaTheme="minorEastAsia"/>
          <w:bCs/>
        </w:rPr>
        <w:t xml:space="preserve"> is called the Kronecker product and is a type of elementwise multiplication.</w:t>
      </w:r>
      <w:r>
        <w:rPr>
          <w:rFonts w:eastAsiaTheme="minorEastAsia"/>
          <w:noProof/>
        </w:rPr>
        <w:drawing>
          <wp:inline distT="0" distB="0" distL="0" distR="0" wp14:anchorId="30022823" wp14:editId="70629C42">
            <wp:extent cx="5012690" cy="3211373"/>
            <wp:effectExtent l="0" t="0" r="381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30 at 8.09.56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8"/>
                    <a:stretch/>
                  </pic:blipFill>
                  <pic:spPr bwMode="auto">
                    <a:xfrm>
                      <a:off x="0" y="0"/>
                      <a:ext cx="5049282" cy="323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7577" w:rsidRPr="008D3613" w:rsidSect="0039595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508DA" w14:textId="77777777" w:rsidR="000650F2" w:rsidRDefault="000650F2" w:rsidP="00672937">
      <w:r>
        <w:separator/>
      </w:r>
    </w:p>
  </w:endnote>
  <w:endnote w:type="continuationSeparator" w:id="0">
    <w:p w14:paraId="27EE30B1" w14:textId="77777777" w:rsidR="000650F2" w:rsidRDefault="000650F2" w:rsidP="0067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41475205"/>
      <w:docPartObj>
        <w:docPartGallery w:val="Page Numbers (Bottom of Page)"/>
        <w:docPartUnique/>
      </w:docPartObj>
    </w:sdtPr>
    <w:sdtContent>
      <w:p w14:paraId="1FEA9034" w14:textId="2C4AC951" w:rsidR="00672937" w:rsidRDefault="00672937" w:rsidP="00B07A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D8A2CD" w14:textId="77777777" w:rsidR="00672937" w:rsidRDefault="00672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1185752"/>
      <w:docPartObj>
        <w:docPartGallery w:val="Page Numbers (Bottom of Page)"/>
        <w:docPartUnique/>
      </w:docPartObj>
    </w:sdtPr>
    <w:sdtContent>
      <w:p w14:paraId="39EC4E23" w14:textId="37A582C3" w:rsidR="00672937" w:rsidRDefault="00672937" w:rsidP="00B07A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1C260C" w14:textId="77777777" w:rsidR="00672937" w:rsidRDefault="00672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D6D70" w14:textId="77777777" w:rsidR="000650F2" w:rsidRDefault="000650F2" w:rsidP="00672937">
      <w:r>
        <w:separator/>
      </w:r>
    </w:p>
  </w:footnote>
  <w:footnote w:type="continuationSeparator" w:id="0">
    <w:p w14:paraId="18F285F3" w14:textId="77777777" w:rsidR="000650F2" w:rsidRDefault="000650F2" w:rsidP="00672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109D"/>
    <w:multiLevelType w:val="hybridMultilevel"/>
    <w:tmpl w:val="6B004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F2"/>
    <w:rsid w:val="00005727"/>
    <w:rsid w:val="000432BD"/>
    <w:rsid w:val="000561B0"/>
    <w:rsid w:val="00062ABB"/>
    <w:rsid w:val="000650F2"/>
    <w:rsid w:val="0006586B"/>
    <w:rsid w:val="00077707"/>
    <w:rsid w:val="00097CC3"/>
    <w:rsid w:val="000C446F"/>
    <w:rsid w:val="000E2B7D"/>
    <w:rsid w:val="00134F35"/>
    <w:rsid w:val="00171F75"/>
    <w:rsid w:val="001737A4"/>
    <w:rsid w:val="001B256A"/>
    <w:rsid w:val="001F46B5"/>
    <w:rsid w:val="00201109"/>
    <w:rsid w:val="002120CD"/>
    <w:rsid w:val="00247597"/>
    <w:rsid w:val="002A1B62"/>
    <w:rsid w:val="002A2DDC"/>
    <w:rsid w:val="002B54A1"/>
    <w:rsid w:val="002E1436"/>
    <w:rsid w:val="002F5F5D"/>
    <w:rsid w:val="00304D87"/>
    <w:rsid w:val="00324FE6"/>
    <w:rsid w:val="003255C3"/>
    <w:rsid w:val="00327ADC"/>
    <w:rsid w:val="003324E7"/>
    <w:rsid w:val="00340A8A"/>
    <w:rsid w:val="00350473"/>
    <w:rsid w:val="00352481"/>
    <w:rsid w:val="00374B7B"/>
    <w:rsid w:val="00375E81"/>
    <w:rsid w:val="00395950"/>
    <w:rsid w:val="003A0994"/>
    <w:rsid w:val="003A09EE"/>
    <w:rsid w:val="003A4DDE"/>
    <w:rsid w:val="00414A8E"/>
    <w:rsid w:val="00433696"/>
    <w:rsid w:val="004544E8"/>
    <w:rsid w:val="00492CF2"/>
    <w:rsid w:val="004A5115"/>
    <w:rsid w:val="004A6667"/>
    <w:rsid w:val="00532A41"/>
    <w:rsid w:val="0053725A"/>
    <w:rsid w:val="00537304"/>
    <w:rsid w:val="00561603"/>
    <w:rsid w:val="0058736A"/>
    <w:rsid w:val="005A3545"/>
    <w:rsid w:val="00610AD8"/>
    <w:rsid w:val="00613327"/>
    <w:rsid w:val="00672937"/>
    <w:rsid w:val="00694C7F"/>
    <w:rsid w:val="006B2264"/>
    <w:rsid w:val="006B273A"/>
    <w:rsid w:val="006C5679"/>
    <w:rsid w:val="006F3117"/>
    <w:rsid w:val="00722624"/>
    <w:rsid w:val="00741EDF"/>
    <w:rsid w:val="00755971"/>
    <w:rsid w:val="007A645B"/>
    <w:rsid w:val="007B71DA"/>
    <w:rsid w:val="007C4DBE"/>
    <w:rsid w:val="008041D8"/>
    <w:rsid w:val="00816F3D"/>
    <w:rsid w:val="0082624D"/>
    <w:rsid w:val="00837577"/>
    <w:rsid w:val="008B4231"/>
    <w:rsid w:val="008D3613"/>
    <w:rsid w:val="008D7AF6"/>
    <w:rsid w:val="008E414C"/>
    <w:rsid w:val="008F00AC"/>
    <w:rsid w:val="009078D5"/>
    <w:rsid w:val="00914D5E"/>
    <w:rsid w:val="00915DD5"/>
    <w:rsid w:val="00965FFD"/>
    <w:rsid w:val="00977568"/>
    <w:rsid w:val="009E28E7"/>
    <w:rsid w:val="009F0E66"/>
    <w:rsid w:val="00A01BD0"/>
    <w:rsid w:val="00A12275"/>
    <w:rsid w:val="00A30B7B"/>
    <w:rsid w:val="00A54300"/>
    <w:rsid w:val="00A90581"/>
    <w:rsid w:val="00A941DB"/>
    <w:rsid w:val="00AC7CE9"/>
    <w:rsid w:val="00AD0433"/>
    <w:rsid w:val="00B10DEC"/>
    <w:rsid w:val="00B2319F"/>
    <w:rsid w:val="00B4474D"/>
    <w:rsid w:val="00B6713D"/>
    <w:rsid w:val="00B94E40"/>
    <w:rsid w:val="00BB358D"/>
    <w:rsid w:val="00BB3DD6"/>
    <w:rsid w:val="00BB51C7"/>
    <w:rsid w:val="00BC2B7F"/>
    <w:rsid w:val="00BC58EC"/>
    <w:rsid w:val="00BF51C1"/>
    <w:rsid w:val="00C457DC"/>
    <w:rsid w:val="00C71A7D"/>
    <w:rsid w:val="00CE7C5C"/>
    <w:rsid w:val="00D065C6"/>
    <w:rsid w:val="00D331E3"/>
    <w:rsid w:val="00D71703"/>
    <w:rsid w:val="00D737B4"/>
    <w:rsid w:val="00D86941"/>
    <w:rsid w:val="00DB4393"/>
    <w:rsid w:val="00DC0A1F"/>
    <w:rsid w:val="00DE0070"/>
    <w:rsid w:val="00E44D96"/>
    <w:rsid w:val="00E529FE"/>
    <w:rsid w:val="00E55AD2"/>
    <w:rsid w:val="00E77A51"/>
    <w:rsid w:val="00E85CFA"/>
    <w:rsid w:val="00EB3003"/>
    <w:rsid w:val="00EC14F2"/>
    <w:rsid w:val="00EC3389"/>
    <w:rsid w:val="00EC66B3"/>
    <w:rsid w:val="00ED22A8"/>
    <w:rsid w:val="00ED6E50"/>
    <w:rsid w:val="00EE0FA4"/>
    <w:rsid w:val="00F01507"/>
    <w:rsid w:val="00F31E24"/>
    <w:rsid w:val="00F51BB3"/>
    <w:rsid w:val="00F61ECB"/>
    <w:rsid w:val="00F67375"/>
    <w:rsid w:val="00F91E9C"/>
    <w:rsid w:val="00FC307C"/>
    <w:rsid w:val="00FC536D"/>
    <w:rsid w:val="00FF4DC4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D4C41"/>
  <w14:defaultImageDpi w14:val="32767"/>
  <w15:chartTrackingRefBased/>
  <w15:docId w15:val="{C0826290-601C-364C-A150-0E4DFB4B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115"/>
    <w:rPr>
      <w:color w:val="808080"/>
    </w:rPr>
  </w:style>
  <w:style w:type="table" w:styleId="TableGrid">
    <w:name w:val="Table Grid"/>
    <w:basedOn w:val="TableNormal"/>
    <w:uiPriority w:val="39"/>
    <w:rsid w:val="00433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69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72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937"/>
  </w:style>
  <w:style w:type="character" w:styleId="PageNumber">
    <w:name w:val="page number"/>
    <w:basedOn w:val="DefaultParagraphFont"/>
    <w:uiPriority w:val="99"/>
    <w:semiHidden/>
    <w:unhideWhenUsed/>
    <w:rsid w:val="0067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Endelman</dc:creator>
  <cp:keywords/>
  <dc:description/>
  <cp:lastModifiedBy>Jeffrey Endelman</cp:lastModifiedBy>
  <cp:revision>63</cp:revision>
  <dcterms:created xsi:type="dcterms:W3CDTF">2020-02-26T23:29:00Z</dcterms:created>
  <dcterms:modified xsi:type="dcterms:W3CDTF">2020-03-30T13:19:00Z</dcterms:modified>
</cp:coreProperties>
</file>