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Times New Roman" w:hAnsi="Times New Roman"/>
          <w:b/>
          <w:sz w:val="24"/>
        </w:rPr>
        <w:t>2. Conceptual Background</w:t>
      </w:r>
    </w:p>
    <w:p>
      <w:pPr>
        <w:spacing w:before="160" w:after="80"/>
      </w:pPr>
      <w:r>
        <w:rPr>
          <w:rFonts w:ascii="Times New Roman" w:hAnsi="Times New Roman"/>
          <w:b/>
          <w:sz w:val="22"/>
        </w:rPr>
        <w:t>2.1 Futures studies and horizon scanning</w:t>
      </w:r>
    </w:p>
    <w:p>
      <w:pPr>
        <w:spacing w:after="120"/>
        <w:ind w:firstLine="425"/>
        <w:jc w:val="both"/>
      </w:pPr>
      <w:r>
        <w:rPr>
          <w:rFonts w:ascii="Times New Roman" w:hAnsi="Times New Roman"/>
          <w:sz w:val="22"/>
        </w:rPr>
        <w:t>Futures studies is an interdisciplinary field concerned with the systematic exploration of possible, probable, and preferable futures (Bell, 2003). It encompasses a diverse repertoire of methods, including scenario analysis, Delphi surveys, trend extrapolation, causal layered analysis, and horizon scanning, each suited to different types of foresight question and different degrees of uncertainty. What unifies these approaches is a shared orientation towards the structured analysis of change over medium to long-term timescales, and a concern with making the implicit assumptions embedded in policy and planning decisions explicit and open to revision (Cuhls, 2020).</w:t>
      </w:r>
    </w:p>
    <w:p>
      <w:pPr>
        <w:spacing w:after="120"/>
        <w:ind w:firstLine="425"/>
        <w:jc w:val="both"/>
      </w:pPr>
      <w:r>
        <w:rPr>
          <w:rFonts w:ascii="Times New Roman" w:hAnsi="Times New Roman"/>
          <w:sz w:val="22"/>
        </w:rPr>
        <w:t>Horizon scanning is a specific form of futures inquiry focused on the systematic detection of early indicators of change — including emerging trends, novel technologies, and weak signals — that lie at or beyond the current frontier of public attention (Sutherland et al., 2011). Unlike scenario planning, which constructs coherent narratives about future states, horizon scanning is primarily concerned with monitoring the periphery of current knowledge for developments that may become significant over time. It has been applied across a range of policy domains — including public health (Fisher et al., 2016), biodiversity conservation (Sutherland and Woodroof, 2009), and food systems (Tàbara et al., 2017) — but remains comparatively underdeveloped in fisheries research.</w:t>
      </w:r>
    </w:p>
    <w:p>
      <w:pPr>
        <w:spacing w:before="160" w:after="80"/>
      </w:pPr>
      <w:r>
        <w:rPr>
          <w:rFonts w:ascii="Times New Roman" w:hAnsi="Times New Roman"/>
          <w:b/>
          <w:sz w:val="22"/>
        </w:rPr>
        <w:t>2.2 Drivers, trends, megatrends, and weak signals</w:t>
      </w:r>
    </w:p>
    <w:p>
      <w:pPr>
        <w:spacing w:after="120"/>
        <w:ind w:firstLine="425"/>
        <w:jc w:val="both"/>
      </w:pPr>
      <w:r>
        <w:rPr>
          <w:rFonts w:ascii="Times New Roman" w:hAnsi="Times New Roman"/>
          <w:sz w:val="22"/>
        </w:rPr>
        <w:t>This review employs four conceptual categories to organise the evidence base, each representing a distinct scale and degree of certainty in the analysis of change. These categories are positioned along a spectrum from broad, well-established forces operating at civilisational scale, to early and uncertain signals at the margins of formal knowledge.</w:t>
      </w:r>
    </w:p>
    <w:p>
      <w:pPr>
        <w:spacing w:after="120"/>
        <w:ind w:firstLine="425"/>
        <w:jc w:val="both"/>
      </w:pPr>
      <w:r>
        <w:rPr>
          <w:rFonts w:ascii="Times New Roman" w:hAnsi="Times New Roman"/>
          <w:sz w:val="22"/>
        </w:rPr>
        <w:t>Drivers of change are the underlying forces or pressures that shift conditions within a system, often operating at scales beyond the immediate control of individual stakeholders but with direct consequences for how institutions, communities, and industries function (Vecchiato and Roveda, 2010). Drivers may be biophysical — such as ocean warming or nutrient loading — or socially constituted, such as regulatory change, market restructuring, or shifts in consumer preferences. They provide the causal substrate from which observable trends emerge.</w:t>
      </w:r>
    </w:p>
    <w:p>
      <w:pPr>
        <w:spacing w:after="120"/>
        <w:ind w:firstLine="425"/>
        <w:jc w:val="both"/>
      </w:pPr>
      <w:r>
        <w:rPr>
          <w:rFonts w:ascii="Times New Roman" w:hAnsi="Times New Roman"/>
          <w:sz w:val="22"/>
        </w:rPr>
        <w:t>Trends are widespread, directional changes that unfold over time and influence attitudes, policies, and economic activity at societal scale (Celi and Colombi, 2020). They represent the observable manifestation of underlying drivers, and are typically sustained over multi-year periods before becoming institutionally recognised. When trends operate at a global scale and over multi-decadal timescales — reshaping fundamental conditions across multiple sectors simultaneously — they are commonly described as megatrends: powerful forces expected to bring about significant transformations in societal or natural environments over a period of five to twenty or more years (Naisbitt, 1982; Hajkowicz, 2015). Megatrends are distinguished from ordinary trends by their breadth, duration, and the degree to which they cut across sectoral, disciplinary, and geographical boundaries.</w:t>
      </w:r>
    </w:p>
    <w:p>
      <w:pPr>
        <w:spacing w:after="120"/>
        <w:ind w:firstLine="425"/>
        <w:jc w:val="both"/>
      </w:pPr>
      <w:r>
        <w:rPr>
          <w:rFonts w:ascii="Times New Roman" w:hAnsi="Times New Roman"/>
          <w:sz w:val="22"/>
        </w:rPr>
        <w:t>Weak signals occupy the opposite end of the certainty spectrum. Following Hiltunen (2010) and Rossel (2021), weak signals are understood here as early, often ambiguous observations that, when interpreted through an appropriate analytical lens, may indicate incipient shifts in the conditions facing fisheries systems. They do not yet appear in formal datasets or policy agendas, and their eventual significance is uncertain; their value lies precisely in the advance notice they may provide to practitioners willing to engage with uncertainty constructively. This review adopts a constructivist position with respect to signal detection: signals are not objective facts about the future, but socially constructed sense-making hypotheses about nascent developments (Cuhls, 2020).</w:t>
      </w:r>
    </w:p>
    <w:p>
      <w:pPr>
        <w:spacing w:before="160" w:after="80"/>
      </w:pPr>
      <w:r>
        <w:rPr>
          <w:rFonts w:ascii="Times New Roman" w:hAnsi="Times New Roman"/>
          <w:b/>
          <w:sz w:val="22"/>
        </w:rPr>
        <w:t>2.3 The STEEP framework</w:t>
      </w:r>
    </w:p>
    <w:p>
      <w:pPr>
        <w:spacing w:after="120"/>
        <w:ind w:firstLine="425"/>
        <w:jc w:val="both"/>
      </w:pPr>
      <w:r>
        <w:rPr>
          <w:rFonts w:ascii="Times New Roman" w:hAnsi="Times New Roman"/>
          <w:sz w:val="22"/>
        </w:rPr>
        <w:t>The STEEP framework — an acronym for Social, Technological, Economic, Environmental, and Political — is a widely used organising scheme in strategic foresight and environmental scanning (Aguilar, 1967; Morrison, 1992). It provides a structured vocabulary for categorising the domains from which drivers and trends emerge, and facilitates systematic comparison across different evidence bases. The framework has been applied in megatrend analyses across multiple sectors (Kalaitzi et al., 2020; Malik and Janowska, 2021) and in policy foresight processes at the European Commission (Knowledge4Policy, 2022) and national science agencies (Naughtin et al., 2022).</w:t>
      </w:r>
    </w:p>
    <w:p>
      <w:pPr>
        <w:spacing w:after="120"/>
        <w:ind w:firstLine="425"/>
        <w:jc w:val="both"/>
      </w:pPr>
      <w:r>
        <w:rPr>
          <w:rFonts w:ascii="Times New Roman" w:hAnsi="Times New Roman"/>
          <w:sz w:val="22"/>
        </w:rPr>
        <w:t>In this review, STEEP classification serves two analytical functions. First, it provides a common taxonomic basis for comparing the thematic coverage of the cross-sectoral megatrend literature with that of the fisheries-specific futures literature — enabling the identification of disciplinary gaps where fisheries research has systematically under-engaged with particular domains of change. Second, it structures the presentation of results in Section 4, organising drivers and trends by the domain from which they primarily originate. Classification was applied computationally using a keyword-matching algorithm (see Section 3.5), with entries that did not match any STEEP keyword retained in a residual Other/Unclassified category.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