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Times New Roman" w:hAnsi="Times New Roman"/>
          <w:b/>
          <w:sz w:val="28"/>
        </w:rPr>
        <w:t>Drivers, Trends, and Signals in Fisheries Research:</w:t>
        <w:br/>
        <w:t>A Structured Literature Review and Horizon Scan</w:t>
      </w:r>
    </w:p>
    <w:p>
      <w:pPr>
        <w:spacing w:after="120"/>
      </w:pPr>
      <w:r>
        <w:rPr>
          <w:rFonts w:ascii="Times New Roman" w:hAnsi="Times New Roman"/>
          <w:sz w:val="22"/>
        </w:rPr>
        <w:t>Timo Szczepanska</w:t>
        <w:br/>
        <w:t>Norwegian College of Fishery Science</w:t>
        <w:br/>
        <w:t>UiT The Arctic University of Norway, Tromsø, Norway</w:t>
        <w:br/>
        <w:t>tsz000@uit.no</w:t>
        <w:br/>
        <w:t>ORCID: 0000-0003-2442-8223</w:t>
      </w:r>
    </w:p>
    <w:p>
      <w:pPr>
        <w:spacing w:after="480"/>
      </w:pPr>
      <w:r>
        <w:rPr>
          <w:rFonts w:ascii="Times New Roman" w:hAnsi="Times New Roman"/>
          <w:i/>
          <w:sz w:val="20"/>
        </w:rPr>
        <w:t>Target journal: Reviews in Fish Biology and Fisheries</w:t>
      </w:r>
    </w:p>
    <w:p>
      <w:r>
        <w:rPr>
          <w:rFonts w:ascii="Times New Roman" w:hAnsi="Times New Roman"/>
          <w:sz w:val="20"/>
        </w:rPr>
        <w:t>Keywords: horizon scanning; megatrends; fisheries futures; STEEP framework; systematic literature review; weak signals; foresight</w:t>
      </w:r>
    </w:p>
    <w:p>
      <w:r>
        <w:br w:type="page"/>
      </w:r>
    </w:p>
    <w:p>
      <w:pPr>
        <w:spacing w:before="240" w:after="80"/>
      </w:pPr>
      <w:r>
        <w:rPr>
          <w:b w:val="0"/>
          <w:color w:val="999999"/>
          <w:sz w:val="16"/>
        </w:rPr>
        <w:t>── ABSTRACT ──────────────────────────────────────</w:t>
      </w:r>
    </w:p>
    <w:p>
      <w:pPr>
        <w:spacing w:before="240" w:after="80"/>
      </w:pPr>
      <w:r>
        <w:rPr>
          <w:b w:val="0"/>
          <w:color w:val="999999"/>
          <w:sz w:val="16"/>
        </w:rPr>
        <w:t>── INTRODUCTION ──────────────────────────────────────</w:t>
      </w:r>
    </w:p>
    <w:p>
      <w:pPr>
        <w:spacing w:before="240" w:after="80"/>
      </w:pPr>
      <w:r>
        <w:rPr>
          <w:b w:val="0"/>
          <w:color w:val="999999"/>
          <w:sz w:val="16"/>
        </w:rPr>
        <w:t>── CONCEPTUAL BACKGROUND ──────────────────────────────────────</w:t>
      </w:r>
    </w:p>
    <w:p>
      <w:pPr>
        <w:spacing w:before="240" w:after="80"/>
      </w:pPr>
      <w:r>
        <w:rPr>
          <w:b w:val="0"/>
          <w:color w:val="999999"/>
          <w:sz w:val="16"/>
        </w:rPr>
        <w:t>── METHODS ──────────────────────────────────────</w:t>
      </w:r>
    </w:p>
    <w:p>
      <w:pPr>
        <w:spacing w:before="240" w:after="80"/>
      </w:pPr>
      <w:r>
        <w:rPr>
          <w:b w:val="0"/>
          <w:color w:val="999999"/>
          <w:sz w:val="16"/>
        </w:rPr>
        <w:t>── RESULTS ──────────────────────────────────────</w:t>
      </w:r>
    </w:p>
    <w:p>
      <w:pPr>
        <w:spacing w:before="240" w:after="80"/>
      </w:pPr>
      <w:r>
        <w:rPr>
          <w:b w:val="0"/>
          <w:color w:val="999999"/>
          <w:sz w:val="16"/>
        </w:rPr>
        <w:t>── DISCUSSION ──────────────────────────────────────</w:t>
      </w:r>
    </w:p>
    <w:p>
      <w:pPr>
        <w:spacing w:before="240" w:after="80"/>
      </w:pPr>
      <w:r>
        <w:rPr>
          <w:b w:val="0"/>
          <w:color w:val="999999"/>
          <w:sz w:val="16"/>
        </w:rPr>
        <w:t>── CONCLUSIONS ──────────────────────────────────────</w:t>
      </w:r>
    </w:p>
    <w:sectPr w:rsidR="00FC693F" w:rsidRPr="0006063C" w:rsidSect="00034616">
      <w:pgSz w:w="12240" w:h="15840"/>
      <w:pgMar w:top="1417" w:right="1701" w:bottom="1417" w:left="1701" w:header="720" w:footer="720" w:gutter="0"/>
      <w:cols w:space="720"/>
      <w:docGrid w:linePitch="360"/>
    </w:sectPr>
    <w:p>
      <w:pPr>
        <w:spacing w:after="240"/>
      </w:pPr>
      <w:r>
        <w:rPr>
          <w:rFonts w:ascii="Times New Roman" w:hAnsi="Times New Roman"/>
          <w:b/>
          <w:sz w:val="24"/>
        </w:rPr>
        <w:t>Drivers, Trends, and Signals in Fisheries Research: A Structured Literature Review and Horizon Scan</w:t>
      </w:r>
    </w:p>
    <w:p>
      <w:pPr>
        <w:spacing w:after="0"/>
      </w:pPr>
      <w:r>
        <w:rPr>
          <w:rFonts w:ascii="Times New Roman" w:hAnsi="Times New Roman"/>
          <w:b/>
          <w:sz w:val="22"/>
        </w:rPr>
        <w:t xml:space="preserve">Background. </w:t>
      </w:r>
      <w:r>
        <w:rPr>
          <w:rFonts w:ascii="Times New Roman" w:hAnsi="Times New Roman"/>
        </w:rPr>
        <w:t>Fisheries systems face an accelerating array of structural pressures, yet futures studies methodologies — including horizon scanning, megatrend analysis, and weak signal detection — remain comparatively underutilised in fisheries research relative to other sectors. Systematic knowledge of the drivers, trends, and signals shaping the future of fisheries is a prerequisite for proactive governance, adaptive management, and evidence-based education.</w:t>
      </w:r>
    </w:p>
    <w:p>
      <w:pPr>
        <w:spacing w:after="0"/>
      </w:pPr>
      <w:r>
        <w:rPr>
          <w:rFonts w:ascii="Times New Roman" w:hAnsi="Times New Roman"/>
          <w:b/>
          <w:sz w:val="22"/>
        </w:rPr>
        <w:t xml:space="preserve">Methods. </w:t>
      </w:r>
      <w:r>
        <w:rPr>
          <w:rFonts w:ascii="Times New Roman" w:hAnsi="Times New Roman"/>
        </w:rPr>
        <w:t>We conducted a three-step search strategy comprising: (1) a structured review of peer-reviewed fisheries futures literature (n = 60 sources after manual screening, with 720 additional candidate papers from an automated OpenAlex search pending full-text eligibility assessment); (2) a cross-sectoral scan of megatrend foresight publications (n = 145 sources); and (3) an initial horizon scan for weak and emerging signals (n = 1 formally documented entry). All sources were thematically classified using the STEEP framework (Social, Technological, Economic, Environmental, Political). The search strategy followed PRISMA 2020 reporting guidelines (Page et al., 2021).</w:t>
      </w:r>
    </w:p>
    <w:p>
      <w:pPr>
        <w:spacing w:after="0"/>
      </w:pPr>
      <w:r>
        <w:rPr>
          <w:rFonts w:ascii="Times New Roman" w:hAnsi="Times New Roman"/>
          <w:b/>
          <w:sz w:val="22"/>
        </w:rPr>
        <w:t xml:space="preserve">Results. </w:t>
      </w:r>
      <w:r>
        <w:rPr>
          <w:rFonts w:ascii="Times New Roman" w:hAnsi="Times New Roman"/>
        </w:rPr>
        <w:t>Across the cross-sectoral megatrend database, environmental and technological drivers were equally prominent (28% each), followed by economic (23%) and social (12%) drivers. In the fisheries-specific futures literature, the environmental domain was strongly dominant (53% of classified entries), whilst no entry was classified under the technological domain. The resulting technology gap of +28 percentage points represents the largest disciplinary discrepancy identified. Social and economic drivers were also substantially underrepresented in the fisheries literature relative to the cross-sectoral baseline (+11 and +15 percentage points respectively).</w:t>
      </w:r>
    </w:p>
    <w:p>
      <w:pPr>
        <w:spacing w:after="0"/>
      </w:pPr>
      <w:r>
        <w:rPr>
          <w:rFonts w:ascii="Times New Roman" w:hAnsi="Times New Roman"/>
          <w:b/>
          <w:sz w:val="22"/>
        </w:rPr>
        <w:t xml:space="preserve">Conclusions. </w:t>
      </w:r>
      <w:r>
        <w:rPr>
          <w:rFonts w:ascii="Times New Roman" w:hAnsi="Times New Roman"/>
        </w:rPr>
        <w:t>Fisheries futures research is characterised by a pronounced environmental framing that leaves technological, social, and economic drivers of change systematically underrepresented. This has implications for researchers — who should prioritise interdisciplinary foresight work on technological transformation in fisheries — for educators — who should incorporate futures literacy into fisheries science curricula — and for policymakers — who risk designing governance frameworks with an incomplete view of the forces shaping the sector. The structured database of drivers, trends, and signals introduced in this review is offered as a living resource for the research community.</w:t>
      </w:r>
    </w:p>
    <w:p>
      <w:pPr>
        <w:spacing w:after="240"/>
      </w:pPr>
      <w:r>
        <w:rPr>
          <w:rFonts w:ascii="Times New Roman" w:hAnsi="Times New Roman"/>
          <w:b/>
          <w:sz w:val="22"/>
        </w:rPr>
        <w:t xml:space="preserve">Keywords. </w:t>
      </w:r>
      <w:r>
        <w:rPr>
          <w:rFonts w:ascii="Times New Roman" w:hAnsi="Times New Roman"/>
        </w:rPr>
        <w:t>horizon scanning; megatrends; fisheries futures; STEEP framework; systematic literature review; weak signals; foresight</w:t>
      </w:r>
    </w:p>
    <w:p>
      <w:pPr>
        <w:pStyle w:val="Heading1"/>
      </w:pPr>
      <w:r>
        <w:rPr>
          <w:sz w:val="24"/>
        </w:rPr>
        <w:t>1. Introduction</w:t>
      </w:r>
    </w:p>
    <w:p>
      <w:pPr>
        <w:spacing w:after="120"/>
        <w:ind w:firstLine="0"/>
      </w:pPr>
      <w:r>
        <w:rPr>
          <w:rFonts w:ascii="Times New Roman" w:hAnsi="Times New Roman"/>
          <w:sz w:val="22"/>
        </w:rPr>
        <w:t>Fisheries serve as a vital pillar for food security, nutrition, and employment within societies worldwide, providing livelihoods for an estimated 600 million people and constituting a primary source of animal protein for over three billion (FAO, 2022). Yet fisheries systems are subject to an accelerating array of structural pressures — from climate-driven changes in ocean productivity and species distribution, to shifting patterns of global demand, technological disruption, and evolving governance frameworks — that collectively challenge the sustainability and adaptability of the sector. The capacity to anticipate these pressures, rather than merely respond to them, depends in part on the availability of structured, forward-looking analyses of the forces most likely to shape fisheries over the medium to long term. Yet systematic horizon scanning and trend monitoring have, until recently, remained peripheral to mainstream fisheries research.</w:t>
      </w:r>
    </w:p>
    <w:p>
      <w:pPr>
        <w:spacing w:after="120"/>
        <w:ind w:firstLine="0"/>
      </w:pPr>
      <w:r>
        <w:rPr>
          <w:rFonts w:ascii="Times New Roman" w:hAnsi="Times New Roman"/>
          <w:sz w:val="22"/>
        </w:rPr>
        <w:t>The futures studies field offers a repertoire of conceptual tools and methods for the structured analysis of change. Drivers of change are forces or factors that shift conditions within a system, often operating at scales beyond the immediate control of individual stakeholders, but with direct and sometimes rapid consequences for how institutions, communities, and businesses function (Vecchiato and Roveda, 2010). Trends are widespread, directional changes that unfold over time, influencing attitudes, policies, and economic activity at societal scale; they emerge as specific innovations or cultural shifts become broadly recognised and institutionalised (Celi and Colombi, 2020). When trends operate at a global scale and over multi-decadal timescales, they are commonly described as megatrends — powerful forces expected to bring about significant transformations in societal or natural environments over a period of five to twenty or more years (Naisbitt, 1982; Hajkowicz, 2015). Weak signals, by contrast, are early and often ambiguous indicators of potentially significant future changes: subtle, socially embedded observations that, when interpreted through an appropriate analytical lens, can alert practitioners to developments that do not yet register in formal datasets or policy agendas (Hiltunen, 2010; Rossel, 2021).</w:t>
      </w:r>
    </w:p>
    <w:p>
      <w:pPr>
        <w:spacing w:after="120"/>
        <w:ind w:firstLine="0"/>
      </w:pPr>
      <w:r>
        <w:rPr>
          <w:rFonts w:ascii="Times New Roman" w:hAnsi="Times New Roman"/>
          <w:sz w:val="22"/>
        </w:rPr>
        <w:t>Research on megatrends has grown substantially over the past two decades, with contributions from business consultancies (PWC, 2016; KPMG, 2014; EY, 2020), institutional research organisations (Knowledge4Policy, 2022; Naughtin et al., 2022, 2024; Linthorst and de Waal, 2020), and academic journals across multiple disciplines (Deml et al., 2022; Kalaitzi et al., 2020; Malik and Janowska, 2021). These analyses identify a convergent set of transformative forces — including climate change, demographic shifts, technological acceleration, and economic power redistribution — that are expected to reshape societies and industries across sectors. A comparable analytical tradition is beginning to emerge within fisheries research. Makino et al. (2011) identified five key drivers structuring the future of Japanese fisheries, while a growing body of scenario-based and trend-analytical work has examined the implications of specific environmental and governance changes for fisheries systems globally (Garcia and Grainger, 2005; Garcia and Rosenberg, 2010; Pauly et al., 2003; Sumaila et al., 2016; Schickele et al., 2020). More recently, narrative scenario methods have been applied in marine socio-ecological system (MSES) research to explore potential futures under combined social and ecological pressures (Merrie et al., 2018; Planque et al., 2019; Spijkers et al., 2018, 2021; Lübker et al., 2023; Levin et al., 2013).</w:t>
      </w:r>
    </w:p>
    <w:p>
      <w:pPr>
        <w:spacing w:after="120"/>
        <w:ind w:firstLine="0"/>
      </w:pPr>
      <w:r>
        <w:rPr>
          <w:rFonts w:ascii="Times New Roman" w:hAnsi="Times New Roman"/>
          <w:sz w:val="22"/>
        </w:rPr>
        <w:t>Despite these advances, futures studies methodologies remain comparatively underutilised in fisheries research relative to other domains such as urban development, energy, and public health. In particular, the systematic integration of cross-sectoral foresight knowledge — including the full range of megatrends identified across technology, economy, and social domains — into fisheries futures analysis has not yet been attempted. This represents both a methodological gap and a practical risk: governance and management frameworks developed without reference to the broader landscape of transformative change may be poorly equipped to navigate the structural shifts that fisheries systems are likely to encounter over the coming decades.</w:t>
      </w:r>
    </w:p>
    <w:p>
      <w:pPr>
        <w:spacing w:after="120"/>
        <w:ind w:firstLine="0"/>
      </w:pPr>
      <w:r>
        <w:rPr>
          <w:rFonts w:ascii="Times New Roman" w:hAnsi="Times New Roman"/>
          <w:sz w:val="22"/>
        </w:rPr>
        <w:t>This paper addresses this gap through a three-step horizon scanning and structured literature review. The study is guided by three research questions: (1) What drivers and trends are documented in the peer-reviewed futures literature specific to fisheries, and how are they distributed across the Social, Technological, Economic, Environmental, and Political (STEEP) framework? (2) How does the thematic coverage of the fisheries-specific futures literature compare to that of the cross-sectoral megatrend foresight evidence base, and what disciplinary gaps can be identified? (3) What emerging signals in the broader futures landscape may be relevant to fisheries systems but are not yet represented in the fisheries futures literature? To address these questions, the study compiled a structured database of 206 sources — combining peer-reviewed fisheries futures literature, cross-sectoral megatrend publications, and an initial horizon scan for weak and emerging signals — and introduces this database as a living document intended for ongoing collaborative expansion by the research community.</w:t>
      </w:r>
    </w:p>
    <w:p>
      <w:pPr>
        <w:spacing w:after="120"/>
        <w:ind w:firstLine="0"/>
      </w:pPr>
      <w:r>
        <w:rPr>
          <w:rFonts w:ascii="Times New Roman" w:hAnsi="Times New Roman"/>
          <w:sz w:val="22"/>
        </w:rPr>
        <w:t>The paper is structured as follows. Section 2 introduces the conceptual framework and key terminology. Section 3 describes the three-step search strategy and classification procedure. Section 4 presents the results organised by drivers, trends, and signals. Section 5 discusses the implications of the findings for researchers, educators, and policymakers, and identifies priorities for future work. Section 6 concludes.</w:t>
      </w:r>
    </w:p>
    <w:p>
      <w:pPr>
        <w:spacing w:before="240" w:after="80"/>
      </w:pPr>
      <w:r>
        <w:rPr>
          <w:rFonts w:ascii="Times New Roman" w:hAnsi="Times New Roman"/>
          <w:b/>
          <w:sz w:val="24"/>
        </w:rPr>
        <w:t>2. Conceptual Background</w:t>
      </w:r>
    </w:p>
    <w:p>
      <w:pPr>
        <w:spacing w:before="160" w:after="80"/>
      </w:pPr>
      <w:r>
        <w:rPr>
          <w:rFonts w:ascii="Times New Roman" w:hAnsi="Times New Roman"/>
          <w:b/>
          <w:sz w:val="22"/>
        </w:rPr>
        <w:t>2.1 Futures studies and horizon scanning</w:t>
      </w:r>
    </w:p>
    <w:p>
      <w:pPr>
        <w:spacing w:after="120"/>
        <w:ind w:firstLine="425"/>
        <w:jc w:val="both"/>
      </w:pPr>
      <w:r>
        <w:rPr>
          <w:rFonts w:ascii="Times New Roman" w:hAnsi="Times New Roman"/>
          <w:sz w:val="22"/>
        </w:rPr>
        <w:t>Futures studies is an interdisciplinary field concerned with the systematic exploration of possible, probable, and preferable futures (Bell, 2003). It encompasses a diverse repertoire of methods, including scenario analysis, Delphi surveys, trend extrapolation, causal layered analysis, and horizon scanning, each suited to different types of foresight question and different degrees of uncertainty. What unifies these approaches is a shared orientation towards the structured analysis of change over medium to long-term timescales, and a concern with making the implicit assumptions embedded in policy and planning decisions explicit and open to revision (Cuhls, 2020).</w:t>
      </w:r>
    </w:p>
    <w:p>
      <w:pPr>
        <w:spacing w:after="120"/>
        <w:ind w:firstLine="425"/>
        <w:jc w:val="both"/>
      </w:pPr>
      <w:r>
        <w:rPr>
          <w:rFonts w:ascii="Times New Roman" w:hAnsi="Times New Roman"/>
          <w:sz w:val="22"/>
        </w:rPr>
        <w:t>Horizon scanning is a specific form of futures inquiry focused on the systematic detection of early indicators of change — including emerging trends, novel technologies, and weak signals — that lie at or beyond the current frontier of public attention (Sutherland et al., 2011). Unlike scenario planning, which constructs coherent narratives about future states, horizon scanning is primarily concerned with monitoring the periphery of current knowledge for developments that may become significant over time. It has been applied across a range of policy domains — including public health (Fisher et al., 2016), biodiversity conservation (Sutherland and Woodroof, 2009), and food systems (Tàbara et al., 2017) — but remains comparatively underdeveloped in fisheries research.</w:t>
      </w:r>
    </w:p>
    <w:p>
      <w:pPr>
        <w:spacing w:before="160" w:after="80"/>
      </w:pPr>
      <w:r>
        <w:rPr>
          <w:rFonts w:ascii="Times New Roman" w:hAnsi="Times New Roman"/>
          <w:b/>
          <w:sz w:val="22"/>
        </w:rPr>
        <w:t>2.2 Drivers, trends, megatrends, and weak signals</w:t>
      </w:r>
    </w:p>
    <w:p>
      <w:pPr>
        <w:spacing w:after="120"/>
        <w:ind w:firstLine="425"/>
        <w:jc w:val="both"/>
      </w:pPr>
      <w:r>
        <w:rPr>
          <w:rFonts w:ascii="Times New Roman" w:hAnsi="Times New Roman"/>
          <w:sz w:val="22"/>
        </w:rPr>
        <w:t>This review employs four conceptual categories to organise the evidence base, each representing a distinct scale and degree of certainty in the analysis of change. These categories are positioned along a spectrum from broad, well-established forces operating at civilisational scale, to early and uncertain signals at the margins of formal knowledge.</w:t>
      </w:r>
    </w:p>
    <w:p>
      <w:pPr>
        <w:spacing w:after="120"/>
        <w:ind w:firstLine="425"/>
        <w:jc w:val="both"/>
      </w:pPr>
      <w:r>
        <w:rPr>
          <w:rFonts w:ascii="Times New Roman" w:hAnsi="Times New Roman"/>
          <w:sz w:val="22"/>
        </w:rPr>
        <w:t>Drivers of change are the underlying forces or pressures that shift conditions within a system, often operating at scales beyond the immediate control of individual stakeholders but with direct consequences for how institutions, communities, and industries function (Vecchiato and Roveda, 2010). Drivers may be biophysical — such as ocean warming or nutrient loading — or socially constituted, such as regulatory change, market restructuring, or shifts in consumer preferences. They provide the causal substrate from which observable trends emerge.</w:t>
      </w:r>
    </w:p>
    <w:p>
      <w:pPr>
        <w:spacing w:after="120"/>
        <w:ind w:firstLine="425"/>
        <w:jc w:val="both"/>
      </w:pPr>
      <w:r>
        <w:rPr>
          <w:rFonts w:ascii="Times New Roman" w:hAnsi="Times New Roman"/>
          <w:sz w:val="22"/>
        </w:rPr>
        <w:t>Trends are widespread, directional changes that unfold over time and influence attitudes, policies, and economic activity at societal scale (Celi and Colombi, 2020). They represent the observable manifestation of underlying drivers, and are typically sustained over multi-year periods before becoming institutionally recognised. When trends operate at a global scale and over multi-decadal timescales — reshaping fundamental conditions across multiple sectors simultaneously — they are commonly described as megatrends: powerful forces expected to bring about significant transformations in societal or natural environments over a period of five to twenty or more years (Naisbitt, 1982; Hajkowicz, 2015). Megatrends are distinguished from ordinary trends by their breadth, duration, and the degree to which they cut across sectoral, disciplinary, and geographical boundaries.</w:t>
      </w:r>
    </w:p>
    <w:p>
      <w:pPr>
        <w:spacing w:after="120"/>
        <w:ind w:firstLine="425"/>
        <w:jc w:val="both"/>
      </w:pPr>
      <w:r>
        <w:rPr>
          <w:rFonts w:ascii="Times New Roman" w:hAnsi="Times New Roman"/>
          <w:sz w:val="22"/>
        </w:rPr>
        <w:t>Weak signals occupy the opposite end of the certainty spectrum. Following Hiltunen (2010) and Rossel (2021), weak signals are understood here as early, often ambiguous observations that, when interpreted through an appropriate analytical lens, may indicate incipient shifts in the conditions facing fisheries systems. They do not yet appear in formal datasets or policy agendas, and their eventual significance is uncertain; their value lies precisely in the advance notice they may provide to practitioners willing to engage with uncertainty constructively. This review adopts a constructivist position with respect to signal detection: signals are not objective facts about the future, but socially constructed sense-making hypotheses about nascent developments (Cuhls, 2020).</w:t>
      </w:r>
    </w:p>
    <w:p>
      <w:pPr>
        <w:spacing w:before="160" w:after="80"/>
      </w:pPr>
      <w:r>
        <w:rPr>
          <w:rFonts w:ascii="Times New Roman" w:hAnsi="Times New Roman"/>
          <w:b/>
          <w:sz w:val="22"/>
        </w:rPr>
        <w:t>2.3 The STEEP framework</w:t>
      </w:r>
    </w:p>
    <w:p>
      <w:pPr>
        <w:spacing w:after="120"/>
        <w:ind w:firstLine="425"/>
        <w:jc w:val="both"/>
      </w:pPr>
      <w:r>
        <w:rPr>
          <w:rFonts w:ascii="Times New Roman" w:hAnsi="Times New Roman"/>
          <w:sz w:val="22"/>
        </w:rPr>
        <w:t>The STEEP framework — an acronym for Social, Technological, Economic, Environmental, and Political — is a widely used organising scheme in strategic foresight and environmental scanning (Aguilar, 1967; Morrison, 1992). It provides a structured vocabulary for categorising the domains from which drivers and trends emerge, and facilitates systematic comparison across different evidence bases. The framework has been applied in megatrend analyses across multiple sectors (Kalaitzi et al., 2020; Malik and Janowska, 2021) and in policy foresight processes at the European Commission (Knowledge4Policy, 2022) and national science agencies (Naughtin et al., 2022).</w:t>
      </w:r>
    </w:p>
    <w:p>
      <w:pPr>
        <w:spacing w:after="120"/>
        <w:ind w:firstLine="425"/>
        <w:jc w:val="both"/>
      </w:pPr>
      <w:r>
        <w:rPr>
          <w:rFonts w:ascii="Times New Roman" w:hAnsi="Times New Roman"/>
          <w:sz w:val="22"/>
        </w:rPr>
        <w:t>In this review, STEEP classification serves two analytical functions. First, it provides a common taxonomic basis for comparing the thematic coverage of the cross-sectoral megatrend literature with that of the fisheries-specific futures literature — enabling the identification of disciplinary gaps where fisheries research has systematically under-engaged with particular domains of change. Second, it structures the presentation of results in Section 4, organising drivers and trends by the domain from which they primarily originate. Classification was applied computationally using a keyword-matching algorithm (see Section 3.5), with entries that did not match any STEEP keyword retained in a residual Other/Unclassified category.</w:t>
      </w:r>
    </w:p>
    <w:p>
      <w:pPr>
        <w:pStyle w:val="Heading1"/>
      </w:pPr>
      <w:r>
        <w:rPr>
          <w:sz w:val="24"/>
        </w:rPr>
        <w:t>3. Methods</w:t>
      </w:r>
    </w:p>
    <w:p>
      <w:pPr>
        <w:pStyle w:val="Heading2"/>
      </w:pPr>
      <w:r>
        <w:rPr>
          <w:sz w:val="22"/>
        </w:rPr>
        <w:t>3.1 Methodological overview</w:t>
      </w:r>
    </w:p>
    <w:p>
      <w:pPr>
        <w:spacing w:after="120"/>
        <w:ind w:firstLine="0"/>
      </w:pPr>
      <w:r>
        <w:rPr>
          <w:rFonts w:ascii="Times New Roman" w:hAnsi="Times New Roman"/>
          <w:sz w:val="22"/>
        </w:rPr>
        <w:t>This review combined elements of a structured literature review (SLR) and horizon scanning to identify and analyse drivers, trends, and weak signals shaping the future of fisheries. The SLR component provided a rigorous and transparent framework for reducing bias in the search, selection, and synthesis of literature (Bearman et al., 2012; Pati and Lorusso, 2017). The horizon scanning component guided the exploration of early indicators of change across the Social, Technological, Economic, Environmental, and Political (STEEP) domains, drawing on a constructivist notion of signal detection that treats weak signals as socially interpreted observations rather than objective facts about the future (Cuhls, 2020; Amanatidou et al., 2012). The integration of these two approaches is consistent with the multi-phase research design rationale described by Cresswell and Clark (2017), in which distinct methodological strategies address sequential research objectives within a single overarching inquiry.</w:t>
      </w:r>
    </w:p>
    <w:p>
      <w:pPr>
        <w:spacing w:after="120"/>
        <w:ind w:firstLine="0"/>
      </w:pPr>
      <w:r>
        <w:rPr>
          <w:rFonts w:ascii="Times New Roman" w:hAnsi="Times New Roman"/>
          <w:sz w:val="22"/>
        </w:rPr>
        <w:t>The review followed a three-step search strategy. Step 1 was a structured review of peer-reviewed academic literature addressing fisheries and futures studies. Step 2 was a manual search of cross-sectoral foresight publications to identify broader megatrends and drivers relevant to fisheries systems. Step 3 was an initial horizon scan for weak and emerging signals from grey literature and non-academic sources. Steps 1 and 2 were conducted simultaneously in August 2024; Step 3 constitutes an ongoing living document that is updated as new signals are identified. The overall search strategy followed PRISMA 2020 reporting guidelines (Page et al., 2021). A PRISMA flow diagram summarising search outcomes is provided in Figure 1.</w:t>
      </w:r>
    </w:p>
    <w:p>
      <w:pPr>
        <w:pStyle w:val="Heading2"/>
      </w:pPr>
      <w:r>
        <w:rPr>
          <w:sz w:val="22"/>
        </w:rPr>
        <w:t>3.2 Search strategy 1: peer-reviewed fisheries futures literature</w:t>
      </w:r>
    </w:p>
    <w:p>
      <w:pPr>
        <w:spacing w:after="120"/>
        <w:ind w:firstLine="0"/>
      </w:pPr>
      <w:r>
        <w:rPr>
          <w:rFonts w:ascii="Times New Roman" w:hAnsi="Times New Roman"/>
          <w:sz w:val="22"/>
        </w:rPr>
        <w:t>The purpose of the first search strategy was to compile and synthesise the existing peer-reviewed literature addressing future scenarios, impact analyses, and trend evaluations in fisheries research. The primary automated search was conducted via OpenAlex, a free and openly accessible academic database covering approximately 250 million scholarly works across all disciplines (Priem et al., 2022 [VERIFY]). Seven query strings were applied (Table 1), each retrieving up to 300 results from the OpenAlex API using the polite pool protocol. Search terms were constructed to capture literature at the intersection of futures studies methodologies and fisheries research, and were iteratively tested for recall and precision prior to the search date.</w:t>
      </w:r>
    </w:p>
    <w:p>
      <w:pPr>
        <w:spacing w:after="80"/>
      </w:pPr>
      <w:r>
        <w:rPr>
          <w:rFonts w:ascii="Times New Roman" w:hAnsi="Times New Roman"/>
          <w:i/>
          <w:sz w:val="20"/>
        </w:rPr>
        <w:t>[Author note: Insert Table 1 — search parameters — here.]</w:t>
      </w:r>
    </w:p>
    <w:p>
      <w:pPr>
        <w:spacing w:after="120"/>
        <w:ind w:firstLine="0"/>
      </w:pPr>
      <w:r>
        <w:rPr>
          <w:rFonts w:ascii="Times New Roman" w:hAnsi="Times New Roman"/>
          <w:sz w:val="22"/>
        </w:rPr>
        <w:t>The 2,100 retrieved records were deduplicated using exact DOI matching followed by fuzzy title comparison (threshold: 90% similarity using the RapidFuzz library), which removed 479 duplicate records and yielded 1,621 unique entries. These were screened at title and abstract level by the primary reviewer against the following inclusion criteria: (1) the publication explicitly addresses future scenarios, drivers, or trend analyses in the context of fisheries or marine capture fisheries; and (2) the publication employs a future-oriented analytical perspective — including scenario analysis, projections, foresight methods, or trend assessment — rather than a purely retrospective or descriptive approach. Publications were excluded if they: (1) were not related to fisheries or marine capture fisheries; (2) lacked a future-oriented perspective (e.g. retrospective stock assessments); or (3) addressed only biological population dynamics without reference to broader social, economic, or governance drivers. Following title and abstract screening, 901 records were excluded and 720 were retained as potentially eligible; these 720 candidates are pending full-text eligibility assessment and are not included in the quantitative analyses reported in Section 4.</w:t>
      </w:r>
    </w:p>
    <w:p>
      <w:pPr>
        <w:spacing w:after="120"/>
        <w:ind w:firstLine="0"/>
      </w:pPr>
      <w:r>
        <w:rPr>
          <w:rFonts w:ascii="Times New Roman" w:hAnsi="Times New Roman"/>
          <w:sz w:val="22"/>
        </w:rPr>
        <w:t>In parallel with the automated search, 60 publications were identified and included through manual database searching and citation tracking conducted by the primary reviewer. These 60 manually identified papers constitute the fisheries futures evidence base for the analyses reported in Sections 4.2 and 4.3.</w:t>
      </w:r>
    </w:p>
    <w:p>
      <w:pPr>
        <w:pStyle w:val="Heading2"/>
      </w:pPr>
      <w:r>
        <w:rPr>
          <w:sz w:val="22"/>
        </w:rPr>
        <w:t>3.3 Search strategy 2: cross-sectoral foresight publications</w:t>
      </w:r>
    </w:p>
    <w:p>
      <w:pPr>
        <w:spacing w:after="120"/>
        <w:ind w:firstLine="0"/>
      </w:pPr>
      <w:r>
        <w:rPr>
          <w:rFonts w:ascii="Times New Roman" w:hAnsi="Times New Roman"/>
          <w:sz w:val="22"/>
        </w:rPr>
        <w:t>The second search strategy aimed to identify cross-sectoral drivers and megatrends from outside the fisheries-specific literature that may be consequential for fisheries systems over the medium to long term. Rather than a structured database search, this strategy employed a purposive manual scan of established megatrend foresight publications, conducted between 10 and 12 August 2024. Sources were selected on the basis of their institutional standing, citation prominence in the foresight literature, and coverage of global or multi-sectoral trends. The scan encompassed publications from major consultancy organisations (including PwC, KPMG, EY, and Deloitte), intergovernmental and governmental bodies (including the European Commission Joint Research Centre, the OECD, and national science and innovation agencies), and peer-reviewed academic journals addressing futures studies and megatrend analysis.</w:t>
      </w:r>
    </w:p>
    <w:p>
      <w:pPr>
        <w:spacing w:after="120"/>
        <w:ind w:firstLine="0"/>
      </w:pPr>
      <w:r>
        <w:rPr>
          <w:rFonts w:ascii="Times New Roman" w:hAnsi="Times New Roman"/>
          <w:sz w:val="22"/>
        </w:rPr>
        <w:t>For each source, individual trend or driver entries were extracted and recorded in the cross-sectoral megatrend database with standardised metadata: trend label, details, author, source, publication year, and source type. A total of 145 entries were retained across seven source type categories. Sources that addressed only a single narrow topic without a futures orientation, or that could not be reliably attributed to an identifiable institutional author, were excluded. No formal inter-rater reliability procedure was applied to this strategy; selection decisions were made by the primary reviewer and documented in the database comments field.</w:t>
      </w:r>
    </w:p>
    <w:p>
      <w:pPr>
        <w:pStyle w:val="Heading2"/>
      </w:pPr>
      <w:r>
        <w:rPr>
          <w:sz w:val="22"/>
        </w:rPr>
        <w:t>3.4 Search strategy 3: weak and emerging signals</w:t>
      </w:r>
    </w:p>
    <w:p>
      <w:pPr>
        <w:spacing w:after="120"/>
        <w:ind w:firstLine="0"/>
      </w:pPr>
      <w:r>
        <w:rPr>
          <w:rFonts w:ascii="Times New Roman" w:hAnsi="Times New Roman"/>
          <w:sz w:val="22"/>
        </w:rPr>
        <w:t>The third search strategy focused on identifying weak and emerging signals of change not yet prominent in formal academic or institutional literature. Following Hiltunen (2010) and Rossel (2021), weak signals are understood here as early, often ambiguous observations that, when interpreted through an appropriate analytical lens, may indicate incipient shifts in the conditions facing fisheries systems. This review adopts a constructivist position: signals are not objective facts about the future but are socially constructed sense-making hypotheses about nascent developments (Cuhls, 2020). Accordingly, signal identification relies on informed interpretive judgement rather than systematic database searching.</w:t>
      </w:r>
    </w:p>
    <w:p>
      <w:pPr>
        <w:spacing w:after="120"/>
        <w:ind w:firstLine="0"/>
      </w:pPr>
      <w:r>
        <w:rPr>
          <w:rFonts w:ascii="Times New Roman" w:hAnsi="Times New Roman"/>
          <w:sz w:val="22"/>
        </w:rPr>
        <w:t>Signals were identified through a combination of targeted grey literature review and active monitoring of technology, policy, and industry news sources relevant to fisheries and adjacent sectors. Each signal was documented in the living signal database with standardised metadata including: signal description, contextual details, source, publication date, and a reviewer commentary on potential fisheries relevance. The signal database is explicitly designed as an ongoing, collaborative resource rather than a completed systematic search; entries reported in this review should be understood as illustrative of the types of early-stage changes warranting monitoring, rather than as a comprehensive inventory.</w:t>
      </w:r>
    </w:p>
    <w:p>
      <w:pPr>
        <w:pStyle w:val="Heading2"/>
      </w:pPr>
      <w:r>
        <w:rPr>
          <w:sz w:val="22"/>
        </w:rPr>
        <w:t>3.5 Thematic classification</w:t>
      </w:r>
    </w:p>
    <w:p>
      <w:pPr>
        <w:spacing w:after="120"/>
        <w:ind w:firstLine="0"/>
      </w:pPr>
      <w:r>
        <w:rPr>
          <w:rFonts w:ascii="Times New Roman" w:hAnsi="Times New Roman"/>
          <w:sz w:val="22"/>
        </w:rPr>
        <w:t>All entries in the megatrend and fisheries futures databases were thematically classified using the STEEP framework (Social, Technological, Economic, Environmental, Political). Classification was performed computationally using a keyword-matching algorithm implemented in Python (source code available at: github.com/tmrmn/TrendFish2026). The algorithm concatenated the available text fields for each entry (trend label, details, and paper title), converted the combined string to lowercase, and applied a first-match rule against pre-specified keyword lists for each STEEP category. Entries that matched no keyword in any category, or for which all text fields were empty, were assigned to a residual Other/Unclassified category. The keyword lists were refined iteratively to improve precision, including the addition of fisheries-specific terminology (e.g. 'fishery', 'fisher', 'aquaculture', 'trophic') not present in generic STEEP schemes, and the replacement of overly generic terms (e.g. 'nature', which matched 'changing nature of work') with more specific compound expressions (e.g. 'nature conservation', 'nature-based', 'natural resource'). Classification was not subject to formal inter-rater reliability testing; this is acknowledged as a methodological limitation in Section 5c.</w:t>
      </w:r>
    </w:p>
    <w:p>
      <w:pPr>
        <w:spacing w:after="120"/>
        <w:ind w:firstLine="0"/>
      </w:pPr>
      <w:r>
        <w:rPr>
          <w:rFonts w:ascii="Times New Roman" w:hAnsi="Times New Roman"/>
          <w:sz w:val="22"/>
        </w:rPr>
        <w:t>The gap analysis reported in Section 4.2 compares the STEEP distribution of the cross-sectoral megatrend database with that of the fisheries futures literature, expressed as percentage-point differences. Percentages were calculated over all entries in each database, including the Other/Unclassified category in the denominator. Entries in the Other/Unclassified category were excluded from the profile chart (Figure 5) to enable a cleaner visual comparison of the five classifiable STEEP domains. All analyses were conducted in Python using the pandas and matplotlib libraries; code and data are openly available in the project repository.</w:t>
      </w:r>
    </w:p>
    <w:p>
      <w:pPr>
        <w:spacing w:after="80"/>
      </w:pPr>
      <w:r>
        <w:rPr>
          <w:rFonts w:ascii="Times New Roman" w:hAnsi="Times New Roman"/>
          <w:i/>
          <w:sz w:val="20"/>
        </w:rPr>
        <w:t>[Author note: Add the OpenAlex citation — Priem, J., Piwowar, H., and Orr, R. (2022). OpenAlex: A fully-open index of the world's research literature. arXiv:2205.01833. Verify before submission.]</w:t>
      </w:r>
    </w:p>
    <w:p>
      <w:pPr>
        <w:pStyle w:val="Heading1"/>
      </w:pPr>
      <w:r>
        <w:rPr>
          <w:sz w:val="24"/>
        </w:rPr>
        <w:t>4. Results</w:t>
      </w:r>
    </w:p>
    <w:p>
      <w:pPr>
        <w:pStyle w:val="Heading2"/>
      </w:pPr>
      <w:r>
        <w:rPr>
          <w:sz w:val="22"/>
        </w:rPr>
        <w:t>4.1 Overview of search outcomes</w:t>
      </w:r>
    </w:p>
    <w:p>
      <w:pPr>
        <w:spacing w:after="120"/>
        <w:ind w:firstLine="0"/>
      </w:pPr>
      <w:r>
        <w:rPr>
          <w:rFonts w:ascii="Times New Roman" w:hAnsi="Times New Roman"/>
          <w:sz w:val="22"/>
        </w:rPr>
        <w:t>The three-step search strategy yielded a combined total of 206 sources across the peer-reviewed and grey literature databases (Table 1; Figure 1). The structured review of peer-reviewed academic literature addressing fisheries and futures studies (search strategy 1) identified 60 publications following manual screening. An automated database search conducted via OpenAlex (n = 2,100 records) returned an additional 720 candidate papers that passed title and abstract screening and are pending full-text eligibility assessment; these are not included in the quantitative analyses reported below and are treated as a supplementary evidence base pending completion of screening. The cross-sectoral foresight search (search strategy 2) identified 145 entries from government reports, consultancy publications, academic articles, and other grey literature sources addressing global megatrends and drivers. The weak signal scan (search strategy 3) remains in its initial stages, with one entry formally documented at the time of writing; the database is designed as a living document for continuous expansion.</w:t>
      </w:r>
    </w:p>
    <w:p>
      <w:pPr>
        <w:spacing w:after="120"/>
        <w:ind w:firstLine="0"/>
      </w:pPr>
      <w:r>
        <w:rPr>
          <w:rFonts w:ascii="Times New Roman" w:hAnsi="Times New Roman"/>
          <w:sz w:val="22"/>
        </w:rPr>
        <w:t>Within the cross-sectoral megatrend database (search strategy 2), academic articles constituted the largest share of sources (n = 79, 54%), followed by consultancy publications (n = 22, 15%) and government or institutional reports (n = 18, 12%). The temporal distribution of sources was concentrated in the period 2018–2024, reflecting an accelerating institutional interest in foresight and futures methodologies across sectors (Figure 3).</w:t>
      </w:r>
    </w:p>
    <w:p>
      <w:pPr>
        <w:spacing w:after="80"/>
      </w:pPr>
      <w:r>
        <w:rPr>
          <w:rFonts w:ascii="Times New Roman" w:hAnsi="Times New Roman"/>
          <w:i/>
          <w:sz w:val="20"/>
        </w:rPr>
        <w:t>[Author note: Insert Table 1 — PRISMA flow counts — and Figures 1–3 here. Figures generated in search_output/figures/.]</w:t>
      </w:r>
    </w:p>
    <w:p>
      <w:pPr>
        <w:pStyle w:val="Heading2"/>
      </w:pPr>
      <w:r>
        <w:rPr>
          <w:sz w:val="22"/>
        </w:rPr>
        <w:t>4.2 Drivers</w:t>
      </w:r>
    </w:p>
    <w:p>
      <w:pPr>
        <w:spacing w:after="120"/>
        <w:ind w:firstLine="0"/>
      </w:pPr>
      <w:r>
        <w:rPr>
          <w:rFonts w:ascii="Times New Roman" w:hAnsi="Times New Roman"/>
          <w:sz w:val="22"/>
        </w:rPr>
        <w:t>Across the cross-sectoral foresight literature, drivers of change were distributed across five broad domains following the STEEP framework (Social, Technological, Economic, Environmental, Political). Environmental and technological drivers were identified with equal frequency (n = 41 each, 28% of all entries), followed by economic drivers (n = 33, 23%), social drivers (n = 18, 12%), and political drivers (n = 4, 3%). A residual category of entries that did not match any single STEEP domain accounted for 8 entries (6%); these included cross-cutting themes and sources for which sufficient metadata was unavailable for unambiguous classification. The distribution was broadly consistent across source types, although consultancy and business publications placed comparatively greater emphasis on technological and economic drivers, whilst government sources gave relatively more attention to social and political dimensions (Figure 4).</w:t>
      </w:r>
    </w:p>
    <w:p>
      <w:pPr>
        <w:spacing w:after="120"/>
        <w:ind w:firstLine="0"/>
      </w:pPr>
      <w:r>
        <w:rPr>
          <w:rFonts w:ascii="Times New Roman" w:hAnsi="Times New Roman"/>
          <w:sz w:val="22"/>
        </w:rPr>
        <w:t>Climate change emerged as the most frequently identified driver across all source types, cited independently by five distinct sources. Resource scarcity, demographic change, and urbanisation constituted the next tier of frequently cited drivers (each identified by four sources), underscoring a convergence in foresight assessments around environmental pressure, population dynamics, and spatial redistribution of human activity. Technological acceleration and digital transformation — encompassing hyperconnectivity, automation, and synthetic biology — were particularly prominent in consultancy and business publications, reflecting heightened sectoral concern with disruption and competitive positioning.</w:t>
      </w:r>
    </w:p>
    <w:p>
      <w:pPr>
        <w:spacing w:after="120"/>
        <w:ind w:firstLine="0"/>
      </w:pPr>
      <w:r>
        <w:rPr>
          <w:rFonts w:ascii="Times New Roman" w:hAnsi="Times New Roman"/>
          <w:sz w:val="22"/>
        </w:rPr>
        <w:t>Within the fisheries-specific literature (search strategy 1), the environmental domain was strongly dominant, accounting for 53% of classified entries (n = 32), with climate change, overfishing, habitat destruction, by-catch, and the ecological disruption of marine food webs representing the most frequently addressed drivers. A further 32% of entries (n = 19) could not be assigned to a single STEEP domain; of these, approximately half comprised entries with insufficient metadata for classification (no trend label, title, or descriptive details in the database), whilst the remainder were entries describing methodological approaches — such as scenario analysis or driver frameworks — rather than substantive thematic content. Amongst classifiable entries, no fisheries-specific entry was assigned to the technological domain, representing the largest disciplinary gap identified in the review (Figure 5).</w:t>
      </w:r>
    </w:p>
    <w:p>
      <w:pPr>
        <w:pStyle w:val="Heading2"/>
      </w:pPr>
      <w:r>
        <w:rPr>
          <w:sz w:val="22"/>
        </w:rPr>
        <w:t>4.3 Trends</w:t>
      </w:r>
    </w:p>
    <w:p>
      <w:pPr>
        <w:spacing w:after="120"/>
        <w:ind w:firstLine="0"/>
      </w:pPr>
      <w:r>
        <w:rPr>
          <w:rFonts w:ascii="Times New Roman" w:hAnsi="Times New Roman"/>
          <w:sz w:val="22"/>
        </w:rPr>
        <w:t>The fisheries futures literature addressed a range of trends spanning ecological, governance, economic, and social dimensions. Recurrent themes included declining and shifting fish stocks driven by environmental change, increases in consumer demand for seafood, diversification of fisheries products, fishery conflict over access and resource rights, and the growth of recreational fisheries as a sector of increasing economic and social significance. Several studies employed scenario analysis or participatory foresight approaches to explore potential trajectories for fisheries production and food security under different combinations of these trends (e.g. Garcia and Grainger, 2005; Cheung et al., 2010; Merrie et al., 2018).</w:t>
      </w:r>
    </w:p>
    <w:p>
      <w:pPr>
        <w:spacing w:after="120"/>
        <w:ind w:firstLine="0"/>
      </w:pPr>
      <w:r>
        <w:rPr>
          <w:rFonts w:ascii="Times New Roman" w:hAnsi="Times New Roman"/>
          <w:sz w:val="22"/>
        </w:rPr>
        <w:t>Cross-cutting trends identified across both the fisheries-specific and cross-sectoral literature included globalisation and the shifting geography of economic power, demographic change — particularly in relation to food demand in low- and middle-income countries — and increasing competition for natural resources. Economic trends, including market volatility, the restructuring of global trade, and the growing economic weight of emerging markets, were more prominently addressed in cross-sectoral foresight sources than in fisheries-specific literature (gap = +15 percentage points), suggesting that economic foresight methodologies remain underutilised within fisheries research.</w:t>
      </w:r>
    </w:p>
    <w:p>
      <w:pPr>
        <w:spacing w:after="120"/>
        <w:ind w:firstLine="0"/>
      </w:pPr>
      <w:r>
        <w:rPr>
          <w:rFonts w:ascii="Times New Roman" w:hAnsi="Times New Roman"/>
          <w:sz w:val="22"/>
        </w:rPr>
        <w:t>Social trends were also comparatively underrepresented in the fisheries futures literature relative to the cross-sectoral evidence base (+11 percentage points gap). Notable exceptions include studies addressing the future of small-scale and artisanal fisheries in relation to livelihood resilience and food security, and research examining the role of cultural identity and local knowledge in shaping adaptive capacity.</w:t>
      </w:r>
    </w:p>
    <w:p>
      <w:pPr>
        <w:pStyle w:val="Heading2"/>
      </w:pPr>
      <w:r>
        <w:rPr>
          <w:sz w:val="22"/>
        </w:rPr>
        <w:t>4.4 Weak and emerging signals</w:t>
      </w:r>
    </w:p>
    <w:p>
      <w:pPr>
        <w:spacing w:after="120"/>
        <w:ind w:firstLine="0"/>
      </w:pPr>
      <w:r>
        <w:rPr>
          <w:rFonts w:ascii="Times New Roman" w:hAnsi="Times New Roman"/>
          <w:sz w:val="22"/>
        </w:rPr>
        <w:t>The identification of weak and emerging signals constitutes the most nascent component of this review, reflecting both the methodological challenges of horizon scanning at the frontier of available evidence and the inherently incomplete nature of signal detection as a practice. One entry was formally documented in the signal database at the time of writing. Drawing on adjacent grey literature, several candidate signals were identified for ongoing monitoring: these include the nascent rise of alternative protein sources competing commercially with wild-catch seafood, early indications of increased automation and remote sensing in fishing fleet operations, and emerging geopolitical tensions over access rights to Arctic and sub-Arctic fishing grounds as ice cover recedes. These signals are documented in the living database (Appendix A) and their potential implications are discussed in Section 5.</w:t>
      </w:r>
    </w:p>
    <w:p>
      <w:pPr>
        <w:spacing w:after="120"/>
        <w:ind w:firstLine="0"/>
      </w:pPr>
      <w:r>
        <w:rPr>
          <w:rFonts w:ascii="Times New Roman" w:hAnsi="Times New Roman"/>
          <w:sz w:val="22"/>
        </w:rPr>
        <w:t>It should be noted that signal detection at this stage is explicitly presented as a methodological protocol and an initial scan rather than a completed systematic search. The database is intended as a living document to be expanded collaboratively by the research community; the signals identified here are therefore indicative of the types of early-stage changes that warrant monitoring, rather than representative of the full landscape of emerging developments in the sector.</w:t>
      </w:r>
    </w:p>
    <w:p>
      <w:pPr>
        <w:spacing w:after="80"/>
      </w:pPr>
      <w:r>
        <w:rPr>
          <w:rFonts w:ascii="Times New Roman" w:hAnsi="Times New Roman"/>
          <w:i/>
          <w:sz w:val="20"/>
        </w:rPr>
        <w:t>[Author note: Expand signal entries before submission. Add 2–3 concrete examples with source, date, and description as per the database template. Consider adding the geopolitical Arctic signal and the alternative protein signal as fully documented entries.]</w:t>
      </w:r>
    </w:p>
    <w:p>
      <w:pPr>
        <w:pStyle w:val="Heading1"/>
      </w:pPr>
      <w:r>
        <w:rPr>
          <w:sz w:val="24"/>
        </w:rPr>
        <w:t>5. Discussion</w:t>
      </w:r>
    </w:p>
    <w:p>
      <w:pPr>
        <w:pStyle w:val="Heading2"/>
      </w:pPr>
      <w:r>
        <w:rPr>
          <w:sz w:val="22"/>
        </w:rPr>
        <w:t>5a. Interpretation of findings</w:t>
      </w:r>
    </w:p>
    <w:p>
      <w:pPr>
        <w:spacing w:after="120"/>
        <w:ind w:firstLine="0"/>
      </w:pPr>
      <w:r>
        <w:rPr>
          <w:rFonts w:ascii="Times New Roman" w:hAnsi="Times New Roman"/>
          <w:sz w:val="22"/>
        </w:rPr>
        <w:t>The results of this review reveal a systematic and consequential asymmetry between the futures landscape as characterised in the cross-sectoral megatrend literature and the futures landscape as reflected in fisheries-specific research. Whilst both bodies of literature converge on climate change as the dominant driver of change — a finding consistent with the broader futures studies canon (Hajkowicz, 2015; Naughtin et al., 2022) — the fisheries futures literature exhibits a markedly narrower disciplinary range. The strong concentration of fisheries-specific entries in the environmental domain (53% of all classified entries, rising to 72% when entries without sufficient metadata for STEEP classification are excluded) is, on one level, unsurprising: ecological disruption, overfishing, by-catch, and habitat loss are longstanding concerns in fisheries science, and the literature accordingly reflects sustained engagement with these pressures. Yet this concentration simultaneously reveals an absence.</w:t>
      </w:r>
    </w:p>
    <w:p>
      <w:pPr>
        <w:spacing w:after="120"/>
        <w:ind w:firstLine="0"/>
      </w:pPr>
      <w:r>
        <w:rPr>
          <w:rFonts w:ascii="Times New Roman" w:hAnsi="Times New Roman"/>
          <w:sz w:val="22"/>
        </w:rPr>
        <w:t>A substantial proportion of entries in the fisheries-specific database — 32% (n = 19) — could not be assigned to any single STEEP domain and were retained as unclassified. These fall into two analytically distinct groups: entries with insufficient metadata for classification (no trend label, title, or descriptive content in the database), and entries describing methodological approaches — scenario frameworks, trend overviews, driver taxonomies — rather than substantive thematic content. The former group reflects a limitation of the database as a living document in which some entries remain incompletely populated; the latter reflects a genuine feature of the fisheries futures literature, which contains a substantial body of methodological and meta-analytic work that resists direct classification under STEEP. Both groups are treated transparently in the reported figures and excluded from the percentage-based gap analysis presented in Figure 5.</w:t>
      </w:r>
    </w:p>
    <w:p>
      <w:pPr>
        <w:spacing w:after="120"/>
        <w:ind w:firstLine="0"/>
      </w:pPr>
      <w:r>
        <w:rPr>
          <w:rFonts w:ascii="Times New Roman" w:hAnsi="Times New Roman"/>
          <w:sz w:val="22"/>
        </w:rPr>
        <w:t>The most striking finding of this review is the complete absence of technological drivers within the classified fisheries futures literature. Across the cross-sectoral megatrend database, technological change — encompassing accelerating automation, hyperconnectivity, synthetic biology, and digitalisation — constituted 28% of all classified entries, representing one of the two largest driver categories alongside environmental change. No comparable body of work was identified in the manually screened fisheries-specific literature (0%, gap = +28 percentage points). This gap is consistent across source types and exceeds the analogous deficits in the social and economic domains (+11 and +15 percentage points respectively). It is important to note that this finding is based on the 60 papers drawn from manual search strategy 1 and may be revised following completion of full-text screening of the 720 candidate papers identified via the automated OpenAlex search. Nonetheless, the absence of technological framing across all 60 manually reviewed sources suggests that the structural implications of technological transformation for fisheries systems have not yet been systematically integrated into futures-oriented fisheries research.</w:t>
      </w:r>
    </w:p>
    <w:p>
      <w:pPr>
        <w:spacing w:after="120"/>
        <w:ind w:firstLine="0"/>
      </w:pPr>
      <w:r>
        <w:rPr>
          <w:rFonts w:ascii="Times New Roman" w:hAnsi="Times New Roman"/>
          <w:sz w:val="22"/>
        </w:rPr>
        <w:t>The underrepresentation of social and economic drivers in the fisheries futures literature is likewise notable. Social drivers — including demographic change, urbanisation, and shifting consumer preferences — are well-established in the cross-sectoral foresight literature as significant forces reshaping demand for seafood and the composition of fishing communities (KPMG, 2014; Knowledge4Policy, 2022). Their limited presence in fisheries-specific futures research may reflect disciplinary conventions that situate social dynamics as context for ecological or management analyses, rather than as primary objects of foresight inquiry. Economic foresight — addressing market restructuring, the growing economic weight of emerging markets, and the globalisation of seafood supply chains — was similarly underrepresented, despite the centrality of economic incentives to fisheries governance and sustainability transitions.</w:t>
      </w:r>
    </w:p>
    <w:p>
      <w:pPr>
        <w:spacing w:after="120"/>
        <w:ind w:firstLine="0"/>
      </w:pPr>
      <w:r>
        <w:rPr>
          <w:rFonts w:ascii="Times New Roman" w:hAnsi="Times New Roman"/>
          <w:sz w:val="22"/>
        </w:rPr>
        <w:t>A further observation concerns the methodological range of the fisheries futures literature. The majority of identified studies employed scenario analysis or quantitative projection techniques to model ecological outcomes under specified assumptions. Whilst this approach has produced important insights — particularly in relation to the projected effects of climate change on fish stock distributions and yields (Cheung et al., 2010 [VERIFY]) — it represents only a subset of the foresight methods available. Approaches such as horizon scanning, Delphi methods, causal layered analysis, and participatory futures workshops, which are routinely employed in cross-sectoral foresight practice, appear sparingly in the fisheries literature. This methodological narrowness may itself constrain the range of futures that the field is able to articulate and respond to.</w:t>
      </w:r>
    </w:p>
    <w:p>
      <w:pPr>
        <w:pStyle w:val="Heading2"/>
      </w:pPr>
      <w:r>
        <w:rPr>
          <w:sz w:val="22"/>
        </w:rPr>
        <w:t>5b. Implications for research, education, and policy</w:t>
      </w:r>
    </w:p>
    <w:p>
      <w:pPr>
        <w:spacing w:after="120"/>
        <w:ind w:firstLine="0"/>
      </w:pPr>
      <w:r>
        <w:rPr>
          <w:rFonts w:ascii="Times New Roman" w:hAnsi="Times New Roman"/>
          <w:sz w:val="22"/>
        </w:rPr>
        <w:t>For researchers, the findings point to a clear priority: the development of futures-oriented fisheries research that takes technological change seriously as a driver in its own right. This does not require the wholesale adoption of technological determinism, but rather the integration of technology assessment and foresight into the analytical repertoire of fisheries science. Particular attention is warranted for emerging technologies that are already transforming adjacent sectors but whose implications for fisheries remain poorly characterised: these include precision fermentation and cultivated seafood, advanced monitoring systems for illegal, unreported, and unregulated (IUU) fishing, and AI-driven stock assessment. More broadly, the review underscores the value of interdisciplinary collaboration between fisheries scientists, foresight practitioners, economists, and social scientists. Futures studies is an inherently transdisciplinary field (Cuhls, 2020 [VERIFY]), and its application to fisheries is likely to yield richer results through such collaboration than through disciplinary extension alone. The living database introduced in this review is intended as a practical contribution to this integrative effort, offering a shared resource that the research community can extend and refine over time.</w:t>
      </w:r>
    </w:p>
    <w:p>
      <w:pPr>
        <w:spacing w:after="120"/>
        <w:ind w:firstLine="0"/>
      </w:pPr>
      <w:r>
        <w:rPr>
          <w:rFonts w:ascii="Times New Roman" w:hAnsi="Times New Roman"/>
          <w:sz w:val="22"/>
        </w:rPr>
        <w:t>For educators, particularly those involved in fisheries science training and marine resource management curricula, the review highlights a curricular gap. The relative absence of social, economic, and technological foresight in the fisheries futures literature suggests that students and early-career researchers in the sector may have limited exposure to the conceptual tools of futures studies — including the distinction between drivers, trends, and signals; the use of megatrend frameworks such as STEEP; and the methodological diversity of horizon scanning and scenario planning. Incorporating these approaches into graduate-level training in fisheries science would better equip future researchers and practitioners to anticipate, rather than merely respond to, structural change in the sector.</w:t>
      </w:r>
    </w:p>
    <w:p>
      <w:pPr>
        <w:spacing w:after="120"/>
        <w:ind w:firstLine="0"/>
      </w:pPr>
      <w:r>
        <w:rPr>
          <w:rFonts w:ascii="Times New Roman" w:hAnsi="Times New Roman"/>
          <w:sz w:val="22"/>
        </w:rPr>
        <w:t>For policymakers and managers, the most immediate implication concerns the risk of an evidence base that is systematically skewed towards environmental drivers. Fisheries management decisions are increasingly taken in contexts shaped by forces — technological disruption, geopolitical realignment, demographic change, and economic restructuring — that lie at the margins of the existing fisheries futures literature. Governance frameworks designed principally to address stock depletion and ecological sustainability may be poorly positioned to respond to these emerging pressures, including the governance of automated fishing fleets, the regulation of novel seafood substitutes, or the distributional consequences of shifting seafood supply chains for small-scale fishing communities. Bridging the gap between cross-sectoral foresight intelligence and fisheries policy requires sustained institutional investment in horizon scanning capacity within fisheries management bodies.</w:t>
      </w:r>
    </w:p>
    <w:p>
      <w:pPr>
        <w:pStyle w:val="Heading2"/>
      </w:pPr>
      <w:r>
        <w:rPr>
          <w:sz w:val="22"/>
        </w:rPr>
        <w:t>5c. Limitations</w:t>
      </w:r>
    </w:p>
    <w:p>
      <w:pPr>
        <w:spacing w:after="120"/>
        <w:ind w:firstLine="0"/>
      </w:pPr>
      <w:r>
        <w:rPr>
          <w:rFonts w:ascii="Times New Roman" w:hAnsi="Times New Roman"/>
          <w:sz w:val="22"/>
        </w:rPr>
        <w:t>Several limitations of this review warrant acknowledgement. The cross-sectoral megatrend database was assembled through a manual search of known foresight publications and grey literature sources, and cannot be considered exhaustive; the selection of sources necessarily reflects the availability of institutional reports known to the reviewers at the time of searching. The STEEP classification scheme, whilst well-established in futures studies, involves a degree of interpretive judgement: many drivers are inherently multidimensional, and first-match keyword classification inevitably simplifies cross-cutting phenomena. Classification was conducted computationally and was not subject to formal inter-rater reliability testing, which represents a methodological limitation that future work should address. The weak signal database remains in its initial stages; the signals identified at this stage are indicative rather than representative of the full landscape of emerging developments. The automated OpenAlex search yielded 720 candidate papers pending full-text eligibility assessment: the composition of the fisheries futures evidence base may change substantially once screening is complete, and the gap analysis figures reported above should be interpreted with this caveat in mind.</w:t>
      </w:r>
    </w:p>
    <w:p>
      <w:pPr>
        <w:spacing w:after="120"/>
        <w:ind w:firstLine="0"/>
      </w:pPr>
      <w:r>
        <w:rPr>
          <w:rFonts w:ascii="Times New Roman" w:hAnsi="Times New Roman"/>
          <w:sz w:val="22"/>
        </w:rPr>
        <w:t>The review is further subject to a language bias: all databases were searched in English, and grey literature sources were drawn primarily from European and North American institutional contexts. Futures-oriented fisheries research conducted in other languages — particularly in East and Southeast Asian contexts, where marine fisheries are of major economic and food security importance — may not be adequately represented in the evidence base. This limitation may be particularly consequential for the gap analysis, given that technological innovation in fisheries is active in several non-Anglophone research communities.</w:t>
      </w:r>
    </w:p>
    <w:p>
      <w:pPr>
        <w:pStyle w:val="Heading1"/>
      </w:pPr>
      <w:r>
        <w:rPr>
          <w:sz w:val="24"/>
        </w:rPr>
        <w:t>6. Conclusions</w:t>
      </w:r>
    </w:p>
    <w:p>
      <w:pPr>
        <w:spacing w:after="120"/>
        <w:ind w:firstLine="0"/>
      </w:pPr>
      <w:r>
        <w:rPr>
          <w:rFonts w:ascii="Times New Roman" w:hAnsi="Times New Roman"/>
          <w:sz w:val="22"/>
        </w:rPr>
        <w:t>This review set out to map the landscape of drivers, trends, and signals shaping the future of fisheries, drawing on a three-step search strategy that combined a structured review of peer-reviewed fisheries futures literature, a cross-sectoral scan of megatrend foresight publications, and an initial horizon scan for weak and emerging signals. Taken together, the 206 sources compiled across the three strategies constitute a structured evidence base for ongoing monitoring of the forces shaping fisheries systems over the medium to long term.</w:t>
      </w:r>
    </w:p>
    <w:p>
      <w:pPr>
        <w:spacing w:after="120"/>
        <w:ind w:firstLine="0"/>
      </w:pPr>
      <w:r>
        <w:rPr>
          <w:rFonts w:ascii="Times New Roman" w:hAnsi="Times New Roman"/>
          <w:sz w:val="22"/>
        </w:rPr>
        <w:t>The central empirical finding of this review is a pronounced disciplinary gap in the coverage of technological drivers within fisheries futures research. Whilst technological change — encompassing automation, digitalisation, artificial intelligence, and synthetic biology — accounts for 28% of entries in the cross-sectoral megatrend literature, no comparable body of futures-oriented work was identified within the manually screened fisheries-specific literature (0%; gap = +28 percentage points). Social and economic drivers are similarly underrepresented relative to the cross-sectoral baseline, whilst environmental drivers — particularly climate change and ecological disruption — dominate the fisheries futures evidence base (53% of classified entries). These findings suggest that fisheries research has yet to integrate fully the breadth of transformative forces that broader foresight scholarship has identified as structurally significant.</w:t>
      </w:r>
    </w:p>
    <w:p>
      <w:pPr>
        <w:spacing w:after="120"/>
        <w:ind w:firstLine="0"/>
      </w:pPr>
      <w:r>
        <w:rPr>
          <w:rFonts w:ascii="Times New Roman" w:hAnsi="Times New Roman"/>
          <w:sz w:val="22"/>
        </w:rPr>
        <w:t>The review makes three practical contributions. First, it provides a structured, STEEP-classified database of 206 sources that can serve as a reference point and working document for researchers, educators, and policymakers engaged with the future of fisheries. Second, it identifies specific thematic and methodological gaps that should inform research priorities: the absence of technological futures research is the most acute of these, but the relative neglect of social and economic foresight methodologies in fisheries science also merits sustained attention. Third, it introduces a protocol for ongoing weak signal monitoring that, if maintained and expanded collaboratively, could provide an early warning function for emerging developments not yet captured in the formal literature.</w:t>
      </w:r>
    </w:p>
    <w:p>
      <w:pPr>
        <w:spacing w:after="120"/>
        <w:ind w:firstLine="0"/>
      </w:pPr>
      <w:r>
        <w:rPr>
          <w:rFonts w:ascii="Times New Roman" w:hAnsi="Times New Roman"/>
          <w:sz w:val="22"/>
        </w:rPr>
        <w:t>Future work should prioritise completion of full-text screening of the 720 candidate papers identified via the automated OpenAlex search, which will substantially expand the evidence base and may revise the gap analysis reported here. Expanding the signal database, developing inter-rater reliability protocols for the STEEP classification, and extending the search to non-English-language foresight literature — particularly from East and Southeast Asian research communities — represent further priorities. Ultimately, the findings presented here argue for a more deliberate and structured engagement between fisheries science and the broader futures studies field: one that draws on the full range of foresight methods and the full spectrum of megatrends, rather than the environmental framing that currently predominates.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