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4"/>
        </w:rPr>
        <w:t>5. Discussion</w:t>
      </w:r>
    </w:p>
    <w:p>
      <w:pPr>
        <w:pStyle w:val="Heading2"/>
      </w:pPr>
      <w:r>
        <w:rPr>
          <w:sz w:val="22"/>
        </w:rPr>
        <w:t>5a. Interpretation of findings</w:t>
      </w:r>
    </w:p>
    <w:p>
      <w:pPr>
        <w:spacing w:after="120"/>
        <w:ind w:firstLine="0"/>
      </w:pPr>
      <w:r>
        <w:rPr>
          <w:rFonts w:ascii="Times New Roman" w:hAnsi="Times New Roman"/>
          <w:sz w:val="22"/>
        </w:rPr>
        <w:t>The results of this review reveal a systematic and consequential asymmetry between the futures landscape as characterised in the cross-sectoral megatrend literature and the futures landscape as reflected in fisheries-specific research. Whilst both bodies of literature converge on climate change as the dominant driver of change — a finding that is consistent with the broader futures studies canon (Hajkowicz, 2015; Naughtin et al., 2022) — the fisheries futures literature exhibits a markedly narrower disciplinary range. The concentration of fisheries-specific entries in the environmental domain (43%) is, on one level, unsurprising: ecological disruption, overfishing, by-catch, and habitat loss are longstanding concerns in fisheries science, and the literature accordingly reflects sustained engagement with these pressures. Yet this concentration simultaneously reveals an absence.</w:t>
      </w:r>
    </w:p>
    <w:p>
      <w:pPr>
        <w:spacing w:after="120"/>
        <w:ind w:firstLine="0"/>
      </w:pPr>
      <w:r>
        <w:rPr>
          <w:rFonts w:ascii="Times New Roman" w:hAnsi="Times New Roman"/>
          <w:sz w:val="22"/>
        </w:rPr>
        <w:t>The most striking finding of this review is the complete absence of technological drivers within the fisheries futures literature. Across the cross-sectoral megatrend database, technological change — encompassing accelerating automation, hyperconnectivity, synthetic biology, and digitalisation — constituted 28% of all classified entries, representing one of the two largest driver categories alongside environmental change. No comparable body of work was identified in the fisheries-specific literature (0%, gap = +28 percentage points). This gap exceeds the analogous deficits observed in the social and economic domains — themselves substantial at +11 and +14 percentage points respectively — and represents the largest disciplinary blind spot identified in this review. The finding suggests that the structural implications of technological transformation for fisheries systems — including the automation of fleet operations, the rise of remote sensing and machine learning in stock assessment, the emergence of alternative protein sources competing commercially with wild-catch seafood, and shifting labour dynamics within fishing communities — have not yet been systematically integrated into futures-oriented fisheries research.</w:t>
      </w:r>
    </w:p>
    <w:p>
      <w:pPr>
        <w:spacing w:after="120"/>
        <w:ind w:firstLine="0"/>
      </w:pPr>
      <w:r>
        <w:rPr>
          <w:rFonts w:ascii="Times New Roman" w:hAnsi="Times New Roman"/>
          <w:sz w:val="22"/>
        </w:rPr>
        <w:t>The underrepresentation of social and economic drivers in the fisheries futures literature is likewise notable, though the mechanisms may differ. Social drivers — including demographic change, urbanisation, and shifting consumer preferences — are well-established in the cross-sectoral foresight literature as significant forces reshaping demand for seafood and the composition of fishing communities (KPMG, 2014; Knowledge4Policy, 2022). Their limited presence in fisheries-specific futures research may reflect disciplinary conventions that situate social dynamics as context for ecological or management analyses, rather than as primary objects of foresight inquiry. Economic foresight — addressing market restructuring, the growing economic weight of emerging markets, and the globalisation of seafood supply chains — was similarly underrepresented, despite the centrality of economic incentives to fisheries governance and sustainability transitions.</w:t>
      </w:r>
    </w:p>
    <w:p>
      <w:pPr>
        <w:spacing w:after="120"/>
        <w:ind w:firstLine="0"/>
      </w:pPr>
      <w:r>
        <w:rPr>
          <w:rFonts w:ascii="Times New Roman" w:hAnsi="Times New Roman"/>
          <w:sz w:val="22"/>
        </w:rPr>
        <w:t>A further observation concerns the temporal and methodological range of the fisheries futures literature. The majority of identified studies employed scenario analysis or quantitative projection techniques to model ecological outcomes under specified assumptions. Whilst this approach has produced important insights — particularly in relation to the projected effects of climate change on fish stock distributions and yields (Cheung et al., 2010; Lotze et al., 2019) — it represents only a subset of the foresight methods available. Approaches such as horizon scanning, Delphi methods, causal layered analysis, and participatory futures workshops, which are routinely employed in cross-sectoral foresight practice, appear sparingly in the fisheries literature. This methodological narrowness may itself constrain the range of futures that the field is able to articulate and act upon.</w:t>
      </w:r>
    </w:p>
    <w:p>
      <w:pPr>
        <w:pStyle w:val="Heading2"/>
      </w:pPr>
      <w:r>
        <w:rPr>
          <w:sz w:val="22"/>
        </w:rPr>
        <w:t>5b. Implications for research, education, and policy</w:t>
      </w:r>
    </w:p>
    <w:p>
      <w:pPr>
        <w:spacing w:after="120"/>
        <w:ind w:firstLine="0"/>
      </w:pPr>
      <w:r>
        <w:rPr>
          <w:rFonts w:ascii="Times New Roman" w:hAnsi="Times New Roman"/>
          <w:sz w:val="22"/>
        </w:rPr>
        <w:t>For researchers, the findings point to a clear priority: the development of futures-oriented fisheries research that takes technological change seriously as a driver in its own right. This does not require the wholesale adoption of technological determinism, but rather the integration of technology assessment and foresight into the analytical repertoire of fisheries science. Particular attention is warranted for emerging technologies that are already transforming adjacent sectors but whose implications for fisheries remain poorly characterised: these include precision fermentation and cultivated seafood, advanced monitoring systems for illegal, unreported, and unregulated (IUU) fishing, and AI-driven stock assessment. More broadly, the review underscores the value of interdisciplinary collaboration between fisheries scientists, foresight practitioners, economists, and social scientists. Futures studies is an inherently transdisciplinary field (Cuhls, 2020), and its application to fisheries is likely to yield richer results through such collaboration than through disciplinary extension alone. The living database introduced in this review — combining structured literature evidence with an ongoing signal-scanning protocol — is intended as a practical contribution to this integrative effort, offering a shared resource that the research community can extend and refine over time.</w:t>
      </w:r>
    </w:p>
    <w:p>
      <w:pPr>
        <w:spacing w:after="120"/>
        <w:ind w:firstLine="0"/>
      </w:pPr>
      <w:r>
        <w:rPr>
          <w:rFonts w:ascii="Times New Roman" w:hAnsi="Times New Roman"/>
          <w:sz w:val="22"/>
        </w:rPr>
        <w:t>For educators, particularly those involved in fisheries science training and marine resource management curricula, the review highlights a curricular gap. The relative absence of social, economic, and technological foresight in the fisheries futures literature suggests that students and early-career researchers in the sector may have limited exposure to the conceptual tools of futures studies — including the distinction between drivers, trends, and signals; the use of megatrend frameworks such as STEEP; and the methodological diversity of horizon scanning and scenario planning. Incorporating these approaches into graduate-level training in fisheries science would better equip future researchers and practitioners to anticipate, rather than merely respond to, structural change in the sector. The conceptual vocabulary introduced in this review is intended to serve, in part, as a resource for such curricular development.</w:t>
      </w:r>
    </w:p>
    <w:p>
      <w:pPr>
        <w:spacing w:after="120"/>
        <w:ind w:firstLine="0"/>
      </w:pPr>
      <w:r>
        <w:rPr>
          <w:rFonts w:ascii="Times New Roman" w:hAnsi="Times New Roman"/>
          <w:sz w:val="22"/>
        </w:rPr>
        <w:t>For policymakers and managers, the most immediate implication of this review concerns the risk of an evidence base that is systematically skewed towards environmental drivers. Fisheries management decisions are increasingly taken in contexts shaped by forces — technological disruption, geopolitical realignment, demographic change, and economic restructuring — that lie at the margins of the existing fisheries futures literature. Governance frameworks designed principally to address stock depletion and ecological sustainability may be poorly positioned to respond to these emerging pressures, including the governance of automated fishing fleets, the regulation of novel seafood substitutes, or the distributional consequences of shifting seafood supply chains for small-scale fishing communities. Bridging the gap between cross-sectoral foresight intelligence and fisheries policy requires sustained institutional investment in horizon scanning capacity within fisheries management bodies — a function for which the database compiled in this review provides an initial framework.</w:t>
      </w:r>
    </w:p>
    <w:p>
      <w:pPr>
        <w:pStyle w:val="Heading2"/>
      </w:pPr>
      <w:r>
        <w:rPr>
          <w:sz w:val="22"/>
        </w:rPr>
        <w:t>5c. Limitations</w:t>
      </w:r>
    </w:p>
    <w:p>
      <w:pPr>
        <w:spacing w:after="120"/>
        <w:ind w:firstLine="0"/>
      </w:pPr>
      <w:r>
        <w:rPr>
          <w:rFonts w:ascii="Times New Roman" w:hAnsi="Times New Roman"/>
          <w:sz w:val="22"/>
        </w:rPr>
        <w:t>Several limitations of this review warrant acknowledgement. The cross-sectoral megatrend database was assembled through a manual search of known foresight publications and grey literature sources, and cannot be considered exhaustive; the selection of sources necessarily reflects the availability of English-language institutional reports and the reviewers' initial knowledge of the foresight landscape. The STEEP classification scheme, whilst well-established in futures studies, involves a degree of interpretive judgement: many drivers are inherently multidimensional, and classification by dominant characteristic inevitably simplifies cross-cutting phenomena. The weak signal database remains in its initial stages, with systematic signal scanning yet to be completed; the signals identified at this stage are indicative rather than representative. Finally, the automated OpenAlex search yielded 720 candidate papers pending full-text eligibility assessment: the final composition of the fisheries futures evidence base may be revised as this assessment proceeds.</w:t>
      </w:r>
    </w:p>
    <w:p>
      <w:pPr>
        <w:spacing w:after="80"/>
      </w:pPr>
      <w:r>
        <w:rPr>
          <w:rFonts w:ascii="Times New Roman" w:hAnsi="Times New Roman"/>
          <w:i/>
          <w:sz w:val="20"/>
        </w:rPr>
        <w:t>[Author note: Consider adding a sentence on the language bias (English-only) and whether non-English foresight literature — particularly from East and Southeast Asia, where fisheries futures research is active — may affect the gap analysis findings.]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