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4"/>
        </w:rPr>
        <w:t>6. Conclusions</w:t>
      </w:r>
    </w:p>
    <w:p>
      <w:pPr>
        <w:spacing w:after="120"/>
        <w:ind w:firstLine="0"/>
      </w:pPr>
      <w:r>
        <w:rPr>
          <w:rFonts w:ascii="Times New Roman" w:hAnsi="Times New Roman"/>
          <w:sz w:val="22"/>
        </w:rPr>
        <w:t>This review set out to map the landscape of drivers, trends, and signals shaping the future of fisheries, drawing on a three-step search strategy that combined a structured review of peer-reviewed fisheries futures literature, a cross-sectoral scan of megatrend foresight publications, and an initial horizon scan for weak and emerging signals. Taken together, the 206 sources compiled across the three strategies constitute a structured evidence base for ongoing monitoring of the forces shaping fisheries systems over the medium to long term.</w:t>
      </w:r>
    </w:p>
    <w:p>
      <w:pPr>
        <w:spacing w:after="120"/>
        <w:ind w:firstLine="0"/>
      </w:pPr>
      <w:r>
        <w:rPr>
          <w:rFonts w:ascii="Times New Roman" w:hAnsi="Times New Roman"/>
          <w:sz w:val="22"/>
        </w:rPr>
        <w:t>The central empirical finding of this review is a pronounced disciplinary gap in the coverage of technological drivers within fisheries futures research. Whilst technological change — encompassing automation, digitalisation, artificial intelligence, and synthetic biology — accounts for 28% of entries in the cross-sectoral megatrend literature, no comparable body of futures-oriented work was identified within the manually screened fisheries-specific literature (0%; gap = +28 percentage points). Social and economic drivers are similarly underrepresented relative to the cross-sectoral baseline, whilst environmental drivers — particularly climate change and ecological disruption — dominate the fisheries futures evidence base (53% of classified entries). These findings suggest that fisheries research has yet to integrate fully the breadth of transformative forces that broader foresight scholarship has identified as structurally significant.</w:t>
      </w:r>
    </w:p>
    <w:p>
      <w:pPr>
        <w:spacing w:after="120"/>
        <w:ind w:firstLine="0"/>
      </w:pPr>
      <w:r>
        <w:rPr>
          <w:rFonts w:ascii="Times New Roman" w:hAnsi="Times New Roman"/>
          <w:sz w:val="22"/>
        </w:rPr>
        <w:t>The review makes three practical contributions. First, it provides a structured, STEEP-classified database of 206 sources that can serve as a reference point and working document for researchers, educators, and policymakers engaged with the future of fisheries. Second, it identifies specific thematic and methodological gaps that should inform research priorities: the absence of technological futures research is the most acute of these, but the relative neglect of social and economic foresight methodologies in fisheries science also merits sustained attention. Third, it introduces a protocol for ongoing weak signal monitoring that, if maintained and expanded collaboratively, could provide an early warning function for emerging developments not yet captured in the formal literature.</w:t>
      </w:r>
    </w:p>
    <w:p>
      <w:pPr>
        <w:spacing w:after="120"/>
        <w:ind w:firstLine="0"/>
      </w:pPr>
      <w:r>
        <w:rPr>
          <w:rFonts w:ascii="Times New Roman" w:hAnsi="Times New Roman"/>
          <w:sz w:val="22"/>
        </w:rPr>
        <w:t>Future work should prioritise completion of full-text screening of the 720 candidate papers identified via the automated OpenAlex search, which will substantially expand the evidence base and may revise the gap analysis reported here. Expanding the signal database, developing inter-rater reliability protocols for the STEEP classification, and extending the search to non-English-language foresight literature — particularly from East and Southeast Asian research communities — represent further priorities. Ultimately, the findings presented here argue for a more deliberate and structured engagement between fisheries science and the broader futures studies field: one that draws on the full range of foresight methods and the full spectrum of megatrends, rather than the environmental framing that currently predominates.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