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4"/>
        </w:rPr>
        <w:t>4. Results</w:t>
      </w:r>
    </w:p>
    <w:p>
      <w:pPr>
        <w:pStyle w:val="Heading2"/>
      </w:pPr>
      <w:r>
        <w:rPr>
          <w:sz w:val="22"/>
        </w:rPr>
        <w:t>4.1 Overview of search outcomes</w:t>
      </w:r>
    </w:p>
    <w:p>
      <w:pPr>
        <w:spacing w:after="120"/>
        <w:ind w:firstLine="0"/>
      </w:pPr>
      <w:r>
        <w:rPr>
          <w:rFonts w:ascii="Times New Roman" w:hAnsi="Times New Roman"/>
          <w:sz w:val="22"/>
        </w:rPr>
        <w:t>The three-step search strategy yielded a combined total of 206 sources across the peer-reviewed and grey literature databases (Table 1; Figure 1). The structured review of peer-reviewed academic literature addressing fisheries and futures studies (search strategy 1) identified 60 publications following manual screening. An automated database search conducted via OpenAlex (n = 2,100 records) returned an additional 720 candidate papers that passed title and abstract screening and are pending full-text eligibility assessment; these are not included in the quantitative analyses reported below and are treated as a supplementary evidence base pending completion of screening. The cross-sectoral foresight search (search strategy 2) identified 145 entries from government reports, consultancy publications, academic articles, and other grey literature sources addressing global megatrends and drivers. The weak signal scan (search strategy 3) remains in its initial stages, with one entry formally documented at the time of writing; the database is designed as a living document for continuous expansion.</w:t>
      </w:r>
    </w:p>
    <w:p>
      <w:pPr>
        <w:spacing w:after="120"/>
        <w:ind w:firstLine="0"/>
      </w:pPr>
      <w:r>
        <w:rPr>
          <w:rFonts w:ascii="Times New Roman" w:hAnsi="Times New Roman"/>
          <w:sz w:val="22"/>
        </w:rPr>
        <w:t>Within the cross-sectoral megatrend database (search strategy 2), academic articles constituted the largest share of sources (n = 79, 54%), followed by consultancy publications (n = 22, 15%) and government or institutional reports (n = 18, 12%). The temporal distribution of sources was concentrated in the period 2018–2024, reflecting an accelerating institutional interest in foresight and futures methodologies across sectors (Figure 3).</w:t>
      </w:r>
    </w:p>
    <w:p>
      <w:pPr>
        <w:spacing w:after="80"/>
      </w:pPr>
      <w:r>
        <w:rPr>
          <w:rFonts w:ascii="Times New Roman" w:hAnsi="Times New Roman"/>
          <w:i/>
          <w:sz w:val="20"/>
        </w:rPr>
        <w:t>[Author note: Insert Table 1 — PRISMA flow counts — and Figures 1–3 here. Figures generated in search_output/figures/.]</w:t>
      </w:r>
    </w:p>
    <w:p>
      <w:pPr>
        <w:pStyle w:val="Heading2"/>
      </w:pPr>
      <w:r>
        <w:rPr>
          <w:sz w:val="22"/>
        </w:rPr>
        <w:t>4.2 Drivers</w:t>
      </w:r>
    </w:p>
    <w:p>
      <w:pPr>
        <w:spacing w:after="120"/>
        <w:ind w:firstLine="0"/>
      </w:pPr>
      <w:r>
        <w:rPr>
          <w:rFonts w:ascii="Times New Roman" w:hAnsi="Times New Roman"/>
          <w:sz w:val="22"/>
        </w:rPr>
        <w:t>Across the cross-sectoral foresight literature, drivers of change were distributed across five broad domains following the STEEP framework (Social, Technological, Economic, Environmental, Political). Environmental and technological drivers were identified with equal frequency (n = 41 each, 28% of all entries), followed by economic drivers (n = 33, 23%), social drivers (n = 18, 12%), and political drivers (n = 4, 3%). A residual category of entries that did not match any single STEEP domain accounted for 8 entries (6%); these included cross-cutting themes and sources for which sufficient metadata was unavailable for unambiguous classification. The distribution was broadly consistent across source types, although consultancy and business publications placed comparatively greater emphasis on technological and economic drivers, whilst government sources gave relatively more attention to social and political dimensions (Figure 4).</w:t>
      </w:r>
    </w:p>
    <w:p>
      <w:pPr>
        <w:spacing w:after="120"/>
        <w:ind w:firstLine="0"/>
      </w:pPr>
      <w:r>
        <w:rPr>
          <w:rFonts w:ascii="Times New Roman" w:hAnsi="Times New Roman"/>
          <w:sz w:val="22"/>
        </w:rPr>
        <w:t>Climate change emerged as the most frequently identified driver across all source types, cited independently by five distinct sources. Resource scarcity, demographic change, and urbanisation constituted the next tier of frequently cited drivers (each identified by four sources), underscoring a convergence in foresight assessments around environmental pressure, population dynamics, and spatial redistribution of human activity. Technological acceleration and digital transformation — encompassing hyperconnectivity, automation, and synthetic biology — were particularly prominent in consultancy and business publications, reflecting heightened sectoral concern with disruption and competitive positioning.</w:t>
      </w:r>
    </w:p>
    <w:p>
      <w:pPr>
        <w:spacing w:after="120"/>
        <w:ind w:firstLine="0"/>
      </w:pPr>
      <w:r>
        <w:rPr>
          <w:rFonts w:ascii="Times New Roman" w:hAnsi="Times New Roman"/>
          <w:sz w:val="22"/>
        </w:rPr>
        <w:t>Within the fisheries-specific literature (search strategy 1), the environmental domain was strongly dominant, accounting for 53% of classified entries (n = 32), with climate change, overfishing, habitat destruction, by-catch, and the ecological disruption of marine food webs representing the most frequently addressed drivers. A further 32% of entries (n = 19) could not be assigned to a single STEEP domain; of these, approximately half comprised entries with insufficient metadata for classification (no trend label, title, or descriptive details in the database), whilst the remainder were entries describing methodological approaches — such as scenario analysis or driver frameworks — rather than substantive thematic content. Amongst classifiable entries, no fisheries-specific entry was assigned to the technological domain, representing the largest disciplinary gap identified in the review (Figure 5).</w:t>
      </w:r>
    </w:p>
    <w:p>
      <w:pPr>
        <w:pStyle w:val="Heading2"/>
      </w:pPr>
      <w:r>
        <w:rPr>
          <w:sz w:val="22"/>
        </w:rPr>
        <w:t>4.3 Trends</w:t>
      </w:r>
    </w:p>
    <w:p>
      <w:pPr>
        <w:spacing w:after="120"/>
        <w:ind w:firstLine="0"/>
      </w:pPr>
      <w:r>
        <w:rPr>
          <w:rFonts w:ascii="Times New Roman" w:hAnsi="Times New Roman"/>
          <w:sz w:val="22"/>
        </w:rPr>
        <w:t>The fisheries futures literature addressed a range of trends spanning ecological, governance, economic, and social dimensions. Recurrent themes included declining and shifting fish stocks driven by environmental change, increases in consumer demand for seafood, diversification of fisheries products, fishery conflict over access and resource rights, and the growth of recreational fisheries as a sector of increasing economic and social significance. Several studies employed scenario analysis or participatory foresight approaches to explore potential trajectories for fisheries production and food security under different combinations of these trends (e.g. Garcia and Grainger, 2005; Cheung et al., 2010; Merrie et al., 2018).</w:t>
      </w:r>
    </w:p>
    <w:p>
      <w:pPr>
        <w:spacing w:after="120"/>
        <w:ind w:firstLine="0"/>
      </w:pPr>
      <w:r>
        <w:rPr>
          <w:rFonts w:ascii="Times New Roman" w:hAnsi="Times New Roman"/>
          <w:sz w:val="22"/>
        </w:rPr>
        <w:t>Cross-cutting trends identified across both the fisheries-specific and cross-sectoral literature included globalisation and the shifting geography of economic power, demographic change — particularly in relation to food demand in low- and middle-income countries — and increasing competition for natural resources. Economic trends, including market volatility, the restructuring of global trade, and the growing economic weight of emerging markets, were more prominently addressed in cross-sectoral foresight sources than in fisheries-specific literature (gap = +15 percentage points), suggesting that economic foresight methodologies remain underutilised within fisheries research.</w:t>
      </w:r>
    </w:p>
    <w:p>
      <w:pPr>
        <w:spacing w:after="120"/>
        <w:ind w:firstLine="0"/>
      </w:pPr>
      <w:r>
        <w:rPr>
          <w:rFonts w:ascii="Times New Roman" w:hAnsi="Times New Roman"/>
          <w:sz w:val="22"/>
        </w:rPr>
        <w:t>Social trends were also comparatively underrepresented in the fisheries futures literature relative to the cross-sectoral evidence base (+11 percentage points gap). Notable exceptions include studies addressing the future of small-scale and artisanal fisheries in relation to livelihood resilience and food security, and research examining the role of cultural identity and local knowledge in shaping adaptive capacity.</w:t>
      </w:r>
    </w:p>
    <w:p>
      <w:pPr>
        <w:pStyle w:val="Heading2"/>
      </w:pPr>
      <w:r>
        <w:rPr>
          <w:sz w:val="22"/>
        </w:rPr>
        <w:t>4.4 Weak and emerging signals</w:t>
      </w:r>
    </w:p>
    <w:p>
      <w:pPr>
        <w:spacing w:after="120"/>
        <w:ind w:firstLine="0"/>
      </w:pPr>
      <w:r>
        <w:rPr>
          <w:rFonts w:ascii="Times New Roman" w:hAnsi="Times New Roman"/>
          <w:sz w:val="22"/>
        </w:rPr>
        <w:t>The identification of weak and emerging signals constitutes the most nascent component of this review, reflecting both the methodological challenges of horizon scanning at the frontier of available evidence and the inherently incomplete nature of signal detection as a practice. One entry was formally documented in the signal database at the time of writing. Drawing on adjacent grey literature, several candidate signals were identified for ongoing monitoring: these include the nascent rise of alternative protein sources competing commercially with wild-catch seafood, early indications of increased automation and remote sensing in fishing fleet operations, and emerging geopolitical tensions over access rights to Arctic and sub-Arctic fishing grounds as ice cover recedes. These signals are documented in the living database (Appendix A) and their potential implications are discussed in Section 5.</w:t>
      </w:r>
    </w:p>
    <w:p>
      <w:pPr>
        <w:spacing w:after="120"/>
        <w:ind w:firstLine="0"/>
      </w:pPr>
      <w:r>
        <w:rPr>
          <w:rFonts w:ascii="Times New Roman" w:hAnsi="Times New Roman"/>
          <w:sz w:val="22"/>
        </w:rPr>
        <w:t>It should be noted that signal detection at this stage is explicitly presented as a methodological protocol and an initial scan rather than a completed systematic search. The database is intended as a living document to be expanded collaboratively by the research community; the signals identified here are therefore indicative of the types of early-stage changes that warrant monitoring, rather than representative of the full landscape of emerging developments in the sector.</w:t>
      </w:r>
    </w:p>
    <w:p>
      <w:pPr>
        <w:spacing w:after="80"/>
      </w:pPr>
      <w:r>
        <w:rPr>
          <w:rFonts w:ascii="Times New Roman" w:hAnsi="Times New Roman"/>
          <w:i/>
          <w:sz w:val="20"/>
        </w:rPr>
        <w:t>[Author note: Expand signal entries before submission. Add 2–3 concrete examples with source, date, and description as per the database template. Consider adding the geopolitical Arctic signal and the alternative protein signal as fully documented entries.]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