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4"/>
        </w:rPr>
        <w:t>Drivers, Trends, and Signals in Fisheries Research: A Structured Literature Review and Horizon Scan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Background. </w:t>
      </w:r>
      <w:r>
        <w:rPr>
          <w:rFonts w:ascii="Times New Roman" w:hAnsi="Times New Roman"/>
        </w:rPr>
        <w:t>Fisheries systems face an accelerating array of structural pressures, yet futures studies methodologies — including horizon scanning, megatrend analysis, and weak signal detection — remain comparatively underutilised in fisheries research relative to other sectors. Systematic knowledge of the drivers, trends, and signals shaping the future of fisheries is a prerequisite for proactive governance, adaptive management, and evidence-based education.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Methods. </w:t>
      </w:r>
      <w:r>
        <w:rPr>
          <w:rFonts w:ascii="Times New Roman" w:hAnsi="Times New Roman"/>
        </w:rPr>
        <w:t>We conducted a three-step search strategy comprising: (1) a structured review of peer-reviewed fisheries futures literature (n = 60 sources after manual screening, with 720 additional candidate papers from an automated OpenAlex search pending full-text eligibility assessment); (2) a cross-sectoral scan of megatrend foresight publications (n = 145 sources); and (3) an initial horizon scan for weak and emerging signals (n = 1 formally documented entry). All sources were thematically classified using the STEEP framework (Social, Technological, Economic, Environmental, Political). The search strategy followed PRISMA 2020 reporting guidelines (Page et al., 2021).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Results. </w:t>
      </w:r>
      <w:r>
        <w:rPr>
          <w:rFonts w:ascii="Times New Roman" w:hAnsi="Times New Roman"/>
        </w:rPr>
        <w:t>Across the cross-sectoral megatrend database, environmental and technological drivers were equally prominent (28% each), followed by economic (23%) and social (12%) drivers. In the fisheries-specific futures literature, the environmental domain was strongly dominant (53% of classified entries), whilst no entry was classified under the technological domain. The resulting technology gap of +28 percentage points represents the largest disciplinary discrepancy identified. Social and economic drivers were also substantially underrepresented in the fisheries literature relative to the cross-sectoral baseline (+11 and +15 percentage points respectively).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Conclusions. </w:t>
      </w:r>
      <w:r>
        <w:rPr>
          <w:rFonts w:ascii="Times New Roman" w:hAnsi="Times New Roman"/>
        </w:rPr>
        <w:t>Fisheries futures research is characterised by a pronounced environmental framing that leaves technological, social, and economic drivers of change systematically underrepresented. This has implications for researchers — who should prioritise interdisciplinary foresight work on technological transformation in fisheries — for educators — who should incorporate futures literacy into fisheries science curricula — and for policymakers — who risk designing governance frameworks with an incomplete view of the forces shaping the sector. The structured database of drivers, trends, and signals introduced in this review is offered as a living resource for the research community.</w:t>
      </w:r>
    </w:p>
    <w:p>
      <w:pPr>
        <w:spacing w:after="240"/>
      </w:pPr>
      <w:r>
        <w:rPr>
          <w:rFonts w:ascii="Times New Roman" w:hAnsi="Times New Roman"/>
          <w:b/>
          <w:sz w:val="22"/>
        </w:rPr>
        <w:t xml:space="preserve">Keywords. </w:t>
      </w:r>
      <w:r>
        <w:rPr>
          <w:rFonts w:ascii="Times New Roman" w:hAnsi="Times New Roman"/>
        </w:rPr>
        <w:t>horizon scanning; megatrends; fisheries futures; STEEP framework; systematic literature review; weak signals; foresight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