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4"/>
        </w:rPr>
        <w:t>1. Introduction</w:t>
      </w:r>
    </w:p>
    <w:p>
      <w:pPr>
        <w:spacing w:after="120"/>
        <w:ind w:firstLine="0"/>
      </w:pPr>
      <w:r>
        <w:rPr>
          <w:rFonts w:ascii="Times New Roman" w:hAnsi="Times New Roman"/>
          <w:sz w:val="22"/>
        </w:rPr>
        <w:t>Fisheries serve as a vital pillar for food security, nutrition, and employment within societies worldwide, providing livelihoods for an estimated 600 million people and constituting a primary source of animal protein for over three billion (FAO, 2022). Yet fisheries systems are subject to an accelerating array of structural pressures — from climate-driven changes in ocean productivity and species distribution, to shifting patterns of global demand, technological disruption, and evolving governance frameworks — that collectively challenge the sustainability and adaptability of the sector. The capacity to anticipate these pressures, rather than merely respond to them, depends in part on the availability of structured, forward-looking analyses of the forces most likely to shape fisheries over the medium to long term. Yet systematic horizon scanning and trend monitoring have, until recently, remained peripheral to mainstream fisheries research.</w:t>
      </w:r>
    </w:p>
    <w:p>
      <w:pPr>
        <w:spacing w:after="120"/>
        <w:ind w:firstLine="0"/>
      </w:pPr>
      <w:r>
        <w:rPr>
          <w:rFonts w:ascii="Times New Roman" w:hAnsi="Times New Roman"/>
          <w:sz w:val="22"/>
        </w:rPr>
        <w:t>The futures studies field offers a repertoire of conceptual tools and methods for the structured analysis of change. Drivers of change are forces or factors that shift conditions within a system, often operating at scales beyond the immediate control of individual stakeholders, but with direct and sometimes rapid consequences for how institutions, communities, and businesses function (Vecchiato and Roveda, 2010). Trends are widespread, directional changes that unfold over time, influencing attitudes, policies, and economic activity at societal scale; they emerge as specific innovations or cultural shifts become broadly recognised and institutionalised (Celi and Colombi, 2020). When trends operate at a global scale and over multi-decadal timescales, they are commonly described as megatrends — powerful forces expected to bring about significant transformations in societal or natural environments over a period of five to twenty or more years (Naisbitt, 1982; Hajkowicz, 2015). Weak signals, by contrast, are early and often ambiguous indicators of potentially significant future changes: subtle, socially embedded observations that, when interpreted through an appropriate analytical lens, can alert practitioners to developments that do not yet register in formal datasets or policy agendas (Hiltunen, 2010; Rossel, 2021).</w:t>
      </w:r>
    </w:p>
    <w:p>
      <w:pPr>
        <w:spacing w:after="120"/>
        <w:ind w:firstLine="0"/>
      </w:pPr>
      <w:r>
        <w:rPr>
          <w:rFonts w:ascii="Times New Roman" w:hAnsi="Times New Roman"/>
          <w:sz w:val="22"/>
        </w:rPr>
        <w:t>Research on megatrends has grown substantially over the past two decades, with contributions from business consultancies (PWC, 2016; KPMG, 2014; EY, 2020), institutional research organisations (Knowledge4Policy, 2022; Naughtin et al., 2022, 2024; Linthorst and de Waal, 2020), and academic journals across multiple disciplines (Deml et al., 2022; Kalaitzi et al., 2020; Malik and Janowska, 2021). These analyses identify a convergent set of transformative forces — including climate change, demographic shifts, technological acceleration, and economic power redistribution — that are expected to reshape societies and industries across sectors. A comparable analytical tradition is beginning to emerge within fisheries research. Makino et al. (2011) identified five key drivers structuring the future of Japanese fisheries, while a growing body of scenario-based and trend-analytical work has examined the implications of specific environmental and governance changes for fisheries systems globally (Garcia and Grainger, 2005; Garcia and Rosenberg, 2010; Pauly et al., 2003; Sumaila et al., 2016; Schickele et al., 2020). More recently, narrative scenario methods have been applied in marine socio-ecological system (MSES) research to explore potential futures under combined social and ecological pressures (Merrie et al., 2018; Planque et al., 2019; Spijkers et al., 2018, 2021; Lübker et al., 2023; Levin et al., 2013).</w:t>
      </w:r>
    </w:p>
    <w:p>
      <w:pPr>
        <w:spacing w:after="120"/>
        <w:ind w:firstLine="0"/>
      </w:pPr>
      <w:r>
        <w:rPr>
          <w:rFonts w:ascii="Times New Roman" w:hAnsi="Times New Roman"/>
          <w:sz w:val="22"/>
        </w:rPr>
        <w:t>Despite these advances, futures studies methodologies remain comparatively underutilised in fisheries research relative to other domains such as urban development, energy, and public health. In particular, the systematic integration of cross-sectoral foresight knowledge — including the full range of megatrends identified across technology, economy, and social domains — into fisheries futures analysis has not yet been attempted. This represents both a methodological gap and a practical risk: governance and management frameworks developed without reference to the broader landscape of transformative change may be poorly equipped to navigate the structural shifts that fisheries systems are likely to encounter over the coming decades.</w:t>
      </w:r>
    </w:p>
    <w:p>
      <w:pPr>
        <w:spacing w:after="120"/>
        <w:ind w:firstLine="0"/>
      </w:pPr>
      <w:r>
        <w:rPr>
          <w:rFonts w:ascii="Times New Roman" w:hAnsi="Times New Roman"/>
          <w:sz w:val="22"/>
        </w:rPr>
        <w:t>This paper addresses this gap through a three-step horizon scanning and structured literature review. The study is guided by three research questions: (1) What drivers and trends are documented in the peer-reviewed futures literature specific to fisheries, and how are they distributed across the Social, Technological, Economic, Environmental, and Political (STEEP) framework? (2) How does the thematic coverage of the fisheries-specific futures literature compare to that of the cross-sectoral megatrend foresight evidence base, and what disciplinary gaps can be identified? (3) What emerging signals in the broader futures landscape may be relevant to fisheries systems but are not yet represented in the fisheries futures literature? To address these questions, the study compiled a structured database of 206 sources — combining peer-reviewed fisheries futures literature, cross-sectoral megatrend publications, and an initial horizon scan for weak and emerging signals — and introduces this database as a living document intended for ongoing collaborative expansion by the research community.</w:t>
      </w:r>
    </w:p>
    <w:p>
      <w:pPr>
        <w:spacing w:after="120"/>
        <w:ind w:firstLine="0"/>
      </w:pPr>
      <w:r>
        <w:rPr>
          <w:rFonts w:ascii="Times New Roman" w:hAnsi="Times New Roman"/>
          <w:sz w:val="22"/>
        </w:rPr>
        <w:t>The paper is structured as follows. Section 2 introduces the conceptual framework and key terminology. Section 3 describes the three-step search strategy and classification procedure. Section 4 presents the results organised by drivers, trends, and signals. Section 5 discusses the implications of the findings for researchers, educators, and policymakers, and identifies priorities for future work. Section 6 concludes.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