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A1D2C" w14:textId="1464DE0E" w:rsidR="003C5E7D" w:rsidRPr="00443396" w:rsidRDefault="00443396">
      <w:pPr>
        <w:rPr>
          <w:lang w:val="en-GB"/>
        </w:rPr>
      </w:pPr>
      <w:r w:rsidRPr="00443396">
        <w:rPr>
          <w:lang w:val="en-GB"/>
        </w:rPr>
        <w:t>4.</w:t>
      </w:r>
    </w:p>
    <w:p w14:paraId="114B9A68" w14:textId="536C920A" w:rsidR="00443396" w:rsidRDefault="00443396" w:rsidP="006331D2">
      <w:pPr>
        <w:jc w:val="both"/>
        <w:rPr>
          <w:lang w:val="en-GB"/>
        </w:rPr>
      </w:pPr>
      <w:r w:rsidRPr="00443396">
        <w:rPr>
          <w:lang w:val="en-GB"/>
        </w:rPr>
        <w:t xml:space="preserve">L’Occitane’s decision to delist from </w:t>
      </w:r>
      <w:r>
        <w:rPr>
          <w:lang w:val="en-GB"/>
        </w:rPr>
        <w:t xml:space="preserve">the </w:t>
      </w:r>
      <w:proofErr w:type="spellStart"/>
      <w:r>
        <w:rPr>
          <w:lang w:val="en-GB"/>
        </w:rPr>
        <w:t>HKEx</w:t>
      </w:r>
      <w:proofErr w:type="spellEnd"/>
      <w:r>
        <w:rPr>
          <w:lang w:val="en-GB"/>
        </w:rPr>
        <w:t xml:space="preserve"> in 2024 shows a strategic re-optimization of its ownership rather than a sign of weakness.</w:t>
      </w:r>
      <w:r w:rsidR="006331D2">
        <w:rPr>
          <w:lang w:val="en-GB"/>
        </w:rPr>
        <w:t xml:space="preserve"> </w:t>
      </w:r>
      <w:r>
        <w:rPr>
          <w:lang w:val="en-GB"/>
        </w:rPr>
        <w:t>There are some reasons underlying L’Occitane’s move, such as:</w:t>
      </w:r>
    </w:p>
    <w:p w14:paraId="3281525A" w14:textId="02F51017" w:rsidR="00443396" w:rsidRDefault="006331D2" w:rsidP="006331D2">
      <w:pPr>
        <w:jc w:val="both"/>
        <w:rPr>
          <w:lang w:val="en-GB"/>
        </w:rPr>
      </w:pPr>
      <w:r>
        <w:rPr>
          <w:lang w:val="en-GB"/>
        </w:rPr>
        <w:t>Firstly, p</w:t>
      </w:r>
      <w:r w:rsidR="00443396">
        <w:rPr>
          <w:lang w:val="en-GB"/>
        </w:rPr>
        <w:t xml:space="preserve">ublic markets have become polarized, there are firms with a lot of capital like L’Oréal that receive the most attention. However, smaller foreign issuer often </w:t>
      </w:r>
      <w:proofErr w:type="gramStart"/>
      <w:r w:rsidR="00443396">
        <w:rPr>
          <w:lang w:val="en-GB"/>
        </w:rPr>
        <w:t>face</w:t>
      </w:r>
      <w:proofErr w:type="gramEnd"/>
      <w:r w:rsidR="00443396">
        <w:rPr>
          <w:lang w:val="en-GB"/>
        </w:rPr>
        <w:t xml:space="preserve"> a valuation gap where their market value does not reflect their intrinsic value.</w:t>
      </w:r>
    </w:p>
    <w:p w14:paraId="24D23D88" w14:textId="5840FCF9" w:rsidR="00443396" w:rsidRDefault="006331D2" w:rsidP="006331D2">
      <w:pPr>
        <w:jc w:val="both"/>
        <w:rPr>
          <w:lang w:val="en-GB"/>
        </w:rPr>
      </w:pPr>
      <w:r>
        <w:rPr>
          <w:lang w:val="en-GB"/>
        </w:rPr>
        <w:t xml:space="preserve">Moreover, </w:t>
      </w:r>
      <w:r w:rsidR="00443396">
        <w:rPr>
          <w:lang w:val="en-GB"/>
        </w:rPr>
        <w:t>Hong Kong ha</w:t>
      </w:r>
      <w:r>
        <w:rPr>
          <w:lang w:val="en-GB"/>
        </w:rPr>
        <w:t>d</w:t>
      </w:r>
      <w:r w:rsidR="00443396">
        <w:rPr>
          <w:lang w:val="en-GB"/>
        </w:rPr>
        <w:t xml:space="preserve"> become increasingly risky due to the increased geopolitical risk, weakened foreign investor flows, and the </w:t>
      </w:r>
      <w:r>
        <w:rPr>
          <w:lang w:val="en-GB"/>
        </w:rPr>
        <w:t xml:space="preserve">creation of stronger market dynamics with China. Also, staying away from markets helps L’Occitane increase its operational flexibility, usually short-term earning dips or large Capex cycles (common in restructuring times) are penalized by public markets. </w:t>
      </w:r>
    </w:p>
    <w:p w14:paraId="3A1A96B3" w14:textId="128E0A71" w:rsidR="006331D2" w:rsidRDefault="006331D2" w:rsidP="006331D2">
      <w:pPr>
        <w:jc w:val="both"/>
        <w:rPr>
          <w:lang w:val="en-GB"/>
        </w:rPr>
      </w:pPr>
      <w:r>
        <w:rPr>
          <w:lang w:val="en-GB"/>
        </w:rPr>
        <w:t>Additionally, Reinold Geiger, the chairman of CEO, is reluctant to give out control of the company to shareholder’s given that historically, when L’Occitane had outside investors from a venture capital before his arrival, had underperformed and even had dismissed the previous CEO. By keeping control of L’Occitane, it is easier to ensure long-term consistency and avoid shareholder activism.</w:t>
      </w:r>
    </w:p>
    <w:p w14:paraId="3F93C3D2" w14:textId="69B2CEB0" w:rsidR="006331D2" w:rsidRDefault="006331D2" w:rsidP="006331D2">
      <w:pPr>
        <w:jc w:val="both"/>
        <w:rPr>
          <w:lang w:val="en-GB"/>
        </w:rPr>
      </w:pPr>
      <w:r>
        <w:rPr>
          <w:lang w:val="en-GB"/>
        </w:rPr>
        <w:t>And, lastly, by being public, L’Occitane faces some constraints by having ESG disclosures, litigation risks, and constant investor communication.</w:t>
      </w:r>
    </w:p>
    <w:p w14:paraId="27C3E8EC" w14:textId="77777777" w:rsidR="006331D2" w:rsidRPr="00443396" w:rsidRDefault="006331D2">
      <w:pPr>
        <w:rPr>
          <w:lang w:val="en-GB"/>
        </w:rPr>
      </w:pPr>
    </w:p>
    <w:sectPr w:rsidR="006331D2" w:rsidRPr="004433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396"/>
    <w:rsid w:val="00051FE7"/>
    <w:rsid w:val="00303891"/>
    <w:rsid w:val="00327273"/>
    <w:rsid w:val="003C5E7D"/>
    <w:rsid w:val="00443396"/>
    <w:rsid w:val="004E2A6B"/>
    <w:rsid w:val="006331D2"/>
    <w:rsid w:val="006E2426"/>
    <w:rsid w:val="009C128C"/>
    <w:rsid w:val="00D3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C2E62"/>
  <w15:chartTrackingRefBased/>
  <w15:docId w15:val="{D932FD9E-64C2-49E6-A83B-6650350BD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216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Miguel F. P. dos Santos Ruas</dc:creator>
  <cp:keywords/>
  <dc:description/>
  <cp:lastModifiedBy>Tiago Miguel F. P. dos Santos Ruas</cp:lastModifiedBy>
  <cp:revision>1</cp:revision>
  <dcterms:created xsi:type="dcterms:W3CDTF">2026-02-13T08:23:00Z</dcterms:created>
  <dcterms:modified xsi:type="dcterms:W3CDTF">2026-02-13T08:46:00Z</dcterms:modified>
</cp:coreProperties>
</file>