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97BE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4. Why did L’Occitane go private and delist from HKEx in 2024? (Beyond the case)</w:t>
      </w:r>
    </w:p>
    <w:p w14:paraId="2DBF22ED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L’Occitane’s delisting in 2024 can be interpreted as part of a much wider global trend: </w:t>
      </w: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many mid-sized consumer and luxury companies have increasingly questioned whether being public still creates value.</w:t>
      </w:r>
    </w:p>
    <w:p w14:paraId="18AB9BD7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Going private is often not a sign of weakness, but rather a strategic re-optimization of ownership structure.</w:t>
      </w:r>
    </w:p>
    <w:p w14:paraId="0A86545C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7D653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E5F0B50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1. The “Public Market Discount” for Mid-Cap Consumer Firms</w:t>
      </w:r>
    </w:p>
    <w:p w14:paraId="7F41D73F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Public markets today are highly polarized:</w:t>
      </w:r>
    </w:p>
    <w:p w14:paraId="1BEB8E44" w14:textId="77777777" w:rsidR="001C4A0C" w:rsidRPr="001C4A0C" w:rsidRDefault="001C4A0C" w:rsidP="001C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Mega-cap firms (L’Oréal, Estée Lauder) get liquidity and attention</w:t>
      </w:r>
    </w:p>
    <w:p w14:paraId="36BD7C47" w14:textId="77777777" w:rsidR="001C4A0C" w:rsidRPr="001C4A0C" w:rsidRDefault="001C4A0C" w:rsidP="001C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Smaller foreign issuers often get ignored</w:t>
      </w:r>
    </w:p>
    <w:p w14:paraId="1E5584C4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Even if fundamentals are strong, firms like L’Occitane may trade at a discount because:</w:t>
      </w:r>
    </w:p>
    <w:p w14:paraId="51D305EE" w14:textId="77777777" w:rsidR="001C4A0C" w:rsidRPr="001C4A0C" w:rsidRDefault="001C4A0C" w:rsidP="001C4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investors focus on China tech or large banks</w:t>
      </w:r>
    </w:p>
    <w:p w14:paraId="2797542E" w14:textId="77777777" w:rsidR="001C4A0C" w:rsidRPr="001C4A0C" w:rsidRDefault="001C4A0C" w:rsidP="001C4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consumer firms are seen as “slow growth”</w:t>
      </w:r>
    </w:p>
    <w:p w14:paraId="73851E95" w14:textId="77777777" w:rsidR="001C4A0C" w:rsidRPr="001C4A0C" w:rsidRDefault="001C4A0C" w:rsidP="001C4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foreign brands lack strong local investor sentiment</w:t>
      </w:r>
    </w:p>
    <w:p w14:paraId="54F32AF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 even though HK was chosen initially for Asia growth, over time the firm may have faced a </w:t>
      </w: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structural valuation gap</w:t>
      </w: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FC45B11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 buyout becomes attractive when:</w:t>
      </w:r>
    </w:p>
    <w:p w14:paraId="7AE64F06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m:t>Market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m:t>Value&lt;Intrinsic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m:t>Value</m:t>
          </m:r>
          <m:r>
            <w:rPr>
              <w:rFonts w:ascii="Cambria Math" w:eastAsia="Times New Roman" w:hAnsi="Cambria Math" w:cs="Times New Roman"/>
              <w:i/>
              <w:kern w:val="0"/>
              <w:lang w:eastAsia="de-DE"/>
              <w14:ligatures w14:val="none"/>
            </w:rPr>
            <w:br/>
          </m:r>
        </m:oMath>
      </m:oMathPara>
    </w:p>
    <w:p w14:paraId="70728DB1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5ADC85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5B2AA85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2. Hong Kong’s Changing Market Environment</w:t>
      </w:r>
    </w:p>
    <w:p w14:paraId="6244ADD2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Hong Kong in 2010 was booming as the gateway to China.</w:t>
      </w:r>
    </w:p>
    <w:p w14:paraId="7FCD34B7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But by 2024:</w:t>
      </w:r>
    </w:p>
    <w:p w14:paraId="7E6C521A" w14:textId="77777777" w:rsidR="001C4A0C" w:rsidRPr="001C4A0C" w:rsidRDefault="001C4A0C" w:rsidP="001C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geopolitical risk increased</w:t>
      </w:r>
    </w:p>
    <w:p w14:paraId="1C96B8CB" w14:textId="77777777" w:rsidR="001C4A0C" w:rsidRPr="001C4A0C" w:rsidRDefault="001C4A0C" w:rsidP="001C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foreign investor flows weakened</w:t>
      </w:r>
    </w:p>
    <w:p w14:paraId="5D3BF546" w14:textId="77777777" w:rsidR="001C4A0C" w:rsidRPr="001C4A0C" w:rsidRDefault="001C4A0C" w:rsidP="001C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HKEx became even more China-centric</w:t>
      </w:r>
    </w:p>
    <w:p w14:paraId="603D5ABD" w14:textId="77777777" w:rsidR="001C4A0C" w:rsidRPr="001C4A0C" w:rsidRDefault="001C4A0C" w:rsidP="001C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consumer discretionary stocks faced pressure</w:t>
      </w:r>
    </w:p>
    <w:p w14:paraId="2CCEFC79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So the original “Asia premium” may have disappeared.</w:t>
      </w:r>
    </w:p>
    <w:p w14:paraId="1BB87272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 a European brand, Hong Kong might no longer have been the natural investor base.</w:t>
      </w:r>
    </w:p>
    <w:p w14:paraId="0E0B33A4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FC4981B">
          <v:rect id="_x0000_i1027" style="width:0;height:1.5pt" o:hralign="center" o:hrstd="t" o:hr="t" fillcolor="#a0a0a0" stroked="f"/>
        </w:pict>
      </w:r>
    </w:p>
    <w:p w14:paraId="5EC8E535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3. Luxury and Cosmetics Are Becoming More Private-Equity Driven</w:t>
      </w:r>
    </w:p>
    <w:p w14:paraId="5C0DF8CB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 the last decade, private equity has heavily increased activity in:</w:t>
      </w:r>
    </w:p>
    <w:p w14:paraId="1F0E7C15" w14:textId="77777777" w:rsidR="001C4A0C" w:rsidRPr="001C4A0C" w:rsidRDefault="001C4A0C" w:rsidP="001C4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premium beauty</w:t>
      </w:r>
    </w:p>
    <w:p w14:paraId="09BB0088" w14:textId="77777777" w:rsidR="001C4A0C" w:rsidRPr="001C4A0C" w:rsidRDefault="001C4A0C" w:rsidP="001C4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skincare</w:t>
      </w:r>
    </w:p>
    <w:p w14:paraId="66101F25" w14:textId="77777777" w:rsidR="001C4A0C" w:rsidRPr="001C4A0C" w:rsidRDefault="001C4A0C" w:rsidP="001C4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niche luxury brands</w:t>
      </w:r>
    </w:p>
    <w:p w14:paraId="1387C20F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Examples include:</w:t>
      </w:r>
    </w:p>
    <w:p w14:paraId="5A2C7757" w14:textId="77777777" w:rsidR="001C4A0C" w:rsidRPr="001C4A0C" w:rsidRDefault="001C4A0C" w:rsidP="001C4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Coty restructuring</w:t>
      </w:r>
    </w:p>
    <w:p w14:paraId="76EB1FCA" w14:textId="77777777" w:rsidR="001C4A0C" w:rsidRPr="001C4A0C" w:rsidRDefault="001C4A0C" w:rsidP="001C4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Estée Lauder acquisitions</w:t>
      </w:r>
    </w:p>
    <w:p w14:paraId="352F8AC2" w14:textId="77777777" w:rsidR="001C4A0C" w:rsidRPr="001C4A0C" w:rsidRDefault="001C4A0C" w:rsidP="001C4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LVMH-style portfolio expansion</w:t>
      </w:r>
    </w:p>
    <w:p w14:paraId="7BEB1069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Private ownership allows:</w:t>
      </w:r>
    </w:p>
    <w:p w14:paraId="03E1877B" w14:textId="77777777" w:rsidR="001C4A0C" w:rsidRPr="001C4A0C" w:rsidRDefault="001C4A0C" w:rsidP="001C4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faster restructuring</w:t>
      </w:r>
    </w:p>
    <w:p w14:paraId="7E172C68" w14:textId="77777777" w:rsidR="001C4A0C" w:rsidRPr="001C4A0C" w:rsidRDefault="001C4A0C" w:rsidP="001C4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acquisitions without shareholder approval</w:t>
      </w:r>
    </w:p>
    <w:p w14:paraId="5A0F90DC" w14:textId="77777777" w:rsidR="001C4A0C" w:rsidRPr="001C4A0C" w:rsidRDefault="001C4A0C" w:rsidP="001C4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long-term brand investments</w:t>
      </w:r>
    </w:p>
    <w:p w14:paraId="22352429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L’Occitane may have wanted to reposition itself similarly.</w:t>
      </w:r>
    </w:p>
    <w:p w14:paraId="6BB9035F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40C1D45">
          <v:rect id="_x0000_i1028" style="width:0;height:1.5pt" o:hralign="center" o:hrstd="t" o:hr="t" fillcolor="#a0a0a0" stroked="f"/>
        </w:pict>
      </w:r>
    </w:p>
    <w:p w14:paraId="33C3427B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4. Operational Restructuring is Easier in Private Markets</w:t>
      </w:r>
    </w:p>
    <w:p w14:paraId="64DA42F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Retail-based firms face constant pressure:</w:t>
      </w:r>
    </w:p>
    <w:p w14:paraId="24481F94" w14:textId="77777777" w:rsidR="001C4A0C" w:rsidRPr="001C4A0C" w:rsidRDefault="001C4A0C" w:rsidP="001C4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store profitability varies by region</w:t>
      </w:r>
    </w:p>
    <w:p w14:paraId="7DF0316D" w14:textId="77777777" w:rsidR="001C4A0C" w:rsidRPr="001C4A0C" w:rsidRDefault="001C4A0C" w:rsidP="001C4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digital transformation requires heavy investment</w:t>
      </w:r>
    </w:p>
    <w:p w14:paraId="02A51970" w14:textId="77777777" w:rsidR="001C4A0C" w:rsidRPr="001C4A0C" w:rsidRDefault="001C4A0C" w:rsidP="001C4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margins are volatile due to inflation and supply chain shocks</w:t>
      </w:r>
    </w:p>
    <w:p w14:paraId="12CD9450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Public shareholders often dislike:</w:t>
      </w:r>
    </w:p>
    <w:p w14:paraId="73BF847F" w14:textId="77777777" w:rsidR="001C4A0C" w:rsidRPr="001C4A0C" w:rsidRDefault="001C4A0C" w:rsidP="001C4A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short-term earnings dips</w:t>
      </w:r>
    </w:p>
    <w:p w14:paraId="154AFF44" w14:textId="77777777" w:rsidR="001C4A0C" w:rsidRPr="001C4A0C" w:rsidRDefault="001C4A0C" w:rsidP="001C4A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large capex cycles</w:t>
      </w:r>
    </w:p>
    <w:p w14:paraId="792F823B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Going private allows management to say:</w:t>
      </w:r>
    </w:p>
    <w:p w14:paraId="2EA409EB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“We accept lower margins today to build competitiveness tomorrow.”</w:t>
      </w:r>
    </w:p>
    <w:p w14:paraId="661D5935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That’s much harder as a listed company.</w:t>
      </w:r>
    </w:p>
    <w:p w14:paraId="0EF4221F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CBDBA0">
          <v:rect id="_x0000_i1029" style="width:0;height:1.5pt" o:hralign="center" o:hrstd="t" o:hr="t" fillcolor="#a0a0a0" stroked="f"/>
        </w:pict>
      </w:r>
    </w:p>
    <w:p w14:paraId="46CDA6E6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5. Founder/Family Logic: Control and Legacy</w:t>
      </w:r>
    </w:p>
    <w:p w14:paraId="5A88A2C4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 luxury and consumer goods, ownership structure matters a lot.</w:t>
      </w:r>
    </w:p>
    <w:p w14:paraId="46D9118B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Many iconic firms prefer tight control:</w:t>
      </w:r>
    </w:p>
    <w:p w14:paraId="1082E142" w14:textId="77777777" w:rsidR="001C4A0C" w:rsidRPr="001C4A0C" w:rsidRDefault="001C4A0C" w:rsidP="001C4A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Hermès (family control)</w:t>
      </w:r>
    </w:p>
    <w:p w14:paraId="080859B3" w14:textId="77777777" w:rsidR="001C4A0C" w:rsidRPr="001C4A0C" w:rsidRDefault="001C4A0C" w:rsidP="001C4A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Chanel (private)</w:t>
      </w:r>
    </w:p>
    <w:p w14:paraId="4365EEC3" w14:textId="77777777" w:rsidR="001C4A0C" w:rsidRPr="001C4A0C" w:rsidRDefault="001C4A0C" w:rsidP="001C4A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Rolex (foundation-owned)</w:t>
      </w:r>
    </w:p>
    <w:p w14:paraId="3885744D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Luxury is not just about cash flows, it’s about:</w:t>
      </w:r>
    </w:p>
    <w:p w14:paraId="72CB700E" w14:textId="77777777" w:rsidR="001C4A0C" w:rsidRPr="001C4A0C" w:rsidRDefault="001C4A0C" w:rsidP="001C4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brand identity</w:t>
      </w:r>
    </w:p>
    <w:p w14:paraId="0196D13C" w14:textId="77777777" w:rsidR="001C4A0C" w:rsidRPr="001C4A0C" w:rsidRDefault="001C4A0C" w:rsidP="001C4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long-term consistency</w:t>
      </w:r>
    </w:p>
    <w:p w14:paraId="11E59FED" w14:textId="77777777" w:rsidR="001C4A0C" w:rsidRPr="001C4A0C" w:rsidRDefault="001C4A0C" w:rsidP="001C4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avoiding short-term shareholder activism</w:t>
      </w:r>
    </w:p>
    <w:p w14:paraId="3134F242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Given Geiger’s reluctance to float in the first place, delisting may have been a return to the “natural” ownership model.</w:t>
      </w:r>
    </w:p>
    <w:p w14:paraId="573EA4EE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B550D5">
          <v:rect id="_x0000_i1030" style="width:0;height:1.5pt" o:hralign="center" o:hrstd="t" o:hr="t" fillcolor="#a0a0a0" stroked="f"/>
        </w:pict>
      </w:r>
    </w:p>
    <w:p w14:paraId="194A2394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6. Cost of Being Public Keeps Rising</w:t>
      </w:r>
    </w:p>
    <w:p w14:paraId="4C43B03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Beyond reporting costs, public companies face:</w:t>
      </w:r>
    </w:p>
    <w:p w14:paraId="5BCC2ACF" w14:textId="77777777" w:rsidR="001C4A0C" w:rsidRPr="001C4A0C" w:rsidRDefault="001C4A0C" w:rsidP="001C4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ESG disclosure obligations</w:t>
      </w:r>
    </w:p>
    <w:p w14:paraId="42933891" w14:textId="77777777" w:rsidR="001C4A0C" w:rsidRPr="001C4A0C" w:rsidRDefault="001C4A0C" w:rsidP="001C4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activist investors</w:t>
      </w:r>
    </w:p>
    <w:p w14:paraId="24EDE5B3" w14:textId="77777777" w:rsidR="001C4A0C" w:rsidRPr="001C4A0C" w:rsidRDefault="001C4A0C" w:rsidP="001C4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litigation risk</w:t>
      </w:r>
    </w:p>
    <w:p w14:paraId="5591C165" w14:textId="77777777" w:rsidR="001C4A0C" w:rsidRPr="001C4A0C" w:rsidRDefault="001C4A0C" w:rsidP="001C4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constant communication demands</w:t>
      </w:r>
    </w:p>
    <w:p w14:paraId="53B51077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 a firm not dependent on equity markets, being public becomes less beneficial.</w:t>
      </w:r>
    </w:p>
    <w:p w14:paraId="644577BA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8EACEB3">
          <v:rect id="_x0000_i1031" style="width:0;height:1.5pt" o:hralign="center" o:hrstd="t" o:hr="t" fillcolor="#a0a0a0" stroked="f"/>
        </w:pict>
      </w:r>
    </w:p>
    <w:p w14:paraId="580EF3E2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Extended Conclusion (Q4)</w:t>
      </w:r>
    </w:p>
    <w:p w14:paraId="50AF12B9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L’Occitane’s delisting in 2024 was likely driven not only by firm-specific issues, but by broader forces:</w:t>
      </w:r>
    </w:p>
    <w:p w14:paraId="676E1314" w14:textId="77777777" w:rsidR="001C4A0C" w:rsidRPr="001C4A0C" w:rsidRDefault="001C4A0C" w:rsidP="001C4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declining attractiveness of HKEx for foreign consumer brands</w:t>
      </w:r>
    </w:p>
    <w:p w14:paraId="04DED83C" w14:textId="77777777" w:rsidR="001C4A0C" w:rsidRPr="001C4A0C" w:rsidRDefault="001C4A0C" w:rsidP="001C4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valuation discounts and low liquidity</w:t>
      </w:r>
    </w:p>
    <w:p w14:paraId="741A33D6" w14:textId="77777777" w:rsidR="001C4A0C" w:rsidRPr="001C4A0C" w:rsidRDefault="001C4A0C" w:rsidP="001C4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desire for restructuring flexibility</w:t>
      </w:r>
    </w:p>
    <w:p w14:paraId="2C4381DE" w14:textId="77777777" w:rsidR="001C4A0C" w:rsidRPr="001C4A0C" w:rsidRDefault="001C4A0C" w:rsidP="001C4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private equity and luxury ownership trends</w:t>
      </w:r>
    </w:p>
    <w:p w14:paraId="34D9F57F" w14:textId="77777777" w:rsidR="001C4A0C" w:rsidRPr="001C4A0C" w:rsidRDefault="001C4A0C" w:rsidP="001C4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founder preference for control and long-term strategy</w:t>
      </w:r>
    </w:p>
    <w:p w14:paraId="28ABC66E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Thus, going private was probably a rational value-maximizing move.</w:t>
      </w:r>
    </w:p>
    <w:p w14:paraId="60E833C3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3088245">
          <v:rect id="_x0000_i1032" style="width:0;height:1.5pt" o:hralign="center" o:hrstd="t" o:hr="t" fillcolor="#a0a0a0" stroked="f"/>
        </w:pict>
      </w:r>
    </w:p>
    <w:p w14:paraId="4716BCD2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87A515C">
          <v:rect id="_x0000_i1033" style="width:0;height:1.5pt" o:hralign="center" o:hrstd="t" o:hr="t" fillcolor="#a0a0a0" stroked="f"/>
        </w:pict>
      </w:r>
    </w:p>
    <w:p w14:paraId="4E569D3A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5. Should L’Occitane relist in the US in 2026? (Beyond the case)</w:t>
      </w:r>
    </w:p>
    <w:p w14:paraId="6BDAAB36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Relisting is not just about raising money.</w:t>
      </w: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It is about </w:t>
      </w: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where the company wants its future investor base and strategic identity to sit.</w:t>
      </w:r>
    </w:p>
    <w:p w14:paraId="3EE71B19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 US relisting would signal:</w:t>
      </w:r>
    </w:p>
    <w:p w14:paraId="430757E3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“We want to play in the global premium consumer league again.”</w:t>
      </w:r>
    </w:p>
    <w:p w14:paraId="0BC37616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78FE40E">
          <v:rect id="_x0000_i1034" style="width:0;height:1.5pt" o:hralign="center" o:hrstd="t" o:hr="t" fillcolor="#a0a0a0" stroked="f"/>
        </w:pict>
      </w:r>
    </w:p>
    <w:p w14:paraId="6495DC91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Reasons Supporting a US Relisting</w:t>
      </w:r>
    </w:p>
    <w:p w14:paraId="643B97D1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62CB850">
          <v:rect id="_x0000_i1035" style="width:0;height:1.5pt" o:hralign="center" o:hrstd="t" o:hr="t" fillcolor="#a0a0a0" stroked="f"/>
        </w:pict>
      </w:r>
    </w:p>
    <w:p w14:paraId="5D3C1167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1. The US is the Natural Home of Global Beauty Capital Markets</w:t>
      </w:r>
    </w:p>
    <w:p w14:paraId="64748C82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 strongest publicly traded beauty ecosystem is in the US:</w:t>
      </w:r>
    </w:p>
    <w:p w14:paraId="663F4D3D" w14:textId="77777777" w:rsidR="001C4A0C" w:rsidRPr="001C4A0C" w:rsidRDefault="001C4A0C" w:rsidP="001C4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Estée Lauder</w:t>
      </w:r>
    </w:p>
    <w:p w14:paraId="2582FA39" w14:textId="77777777" w:rsidR="001C4A0C" w:rsidRPr="001C4A0C" w:rsidRDefault="001C4A0C" w:rsidP="001C4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Ulta Beauty</w:t>
      </w:r>
    </w:p>
    <w:p w14:paraId="2CC6271D" w14:textId="77777777" w:rsidR="001C4A0C" w:rsidRPr="001C4A0C" w:rsidRDefault="001C4A0C" w:rsidP="001C4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Coty</w:t>
      </w:r>
    </w:p>
    <w:p w14:paraId="48D7452C" w14:textId="77777777" w:rsidR="001C4A0C" w:rsidRPr="001C4A0C" w:rsidRDefault="001C4A0C" w:rsidP="001C4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Procter &amp; Gamble (beauty segment)</w:t>
      </w:r>
    </w:p>
    <w:p w14:paraId="05858753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 means:</w:t>
      </w:r>
    </w:p>
    <w:p w14:paraId="6EA52290" w14:textId="77777777" w:rsidR="001C4A0C" w:rsidRPr="001C4A0C" w:rsidRDefault="001C4A0C" w:rsidP="001C4A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specialist consumer analysts</w:t>
      </w:r>
    </w:p>
    <w:p w14:paraId="502BDCFB" w14:textId="77777777" w:rsidR="001C4A0C" w:rsidRPr="001C4A0C" w:rsidRDefault="001C4A0C" w:rsidP="001C4A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deep institutional demand</w:t>
      </w:r>
    </w:p>
    <w:p w14:paraId="3DC96DF6" w14:textId="77777777" w:rsidR="001C4A0C" w:rsidRPr="001C4A0C" w:rsidRDefault="001C4A0C" w:rsidP="001C4A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valuation benchmarking</w:t>
      </w:r>
    </w:p>
    <w:p w14:paraId="738C5BF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L’Occitane could gain a stronger peer group.</w:t>
      </w:r>
    </w:p>
    <w:p w14:paraId="6AB11E9F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CA7BCFE">
          <v:rect id="_x0000_i1036" style="width:0;height:1.5pt" o:hralign="center" o:hrstd="t" o:hr="t" fillcolor="#a0a0a0" stroked="f"/>
        </w:pict>
      </w:r>
    </w:p>
    <w:p w14:paraId="27F09866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2. US Markets Reward Premium Growth Stories</w:t>
      </w:r>
    </w:p>
    <w:p w14:paraId="54134457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 L’Occitane positions itself as:</w:t>
      </w:r>
    </w:p>
    <w:p w14:paraId="02319BCB" w14:textId="77777777" w:rsidR="001C4A0C" w:rsidRPr="001C4A0C" w:rsidRDefault="001C4A0C" w:rsidP="001C4A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clean beauty</w:t>
      </w:r>
    </w:p>
    <w:p w14:paraId="44327A96" w14:textId="77777777" w:rsidR="001C4A0C" w:rsidRPr="001C4A0C" w:rsidRDefault="001C4A0C" w:rsidP="001C4A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sustainable luxury</w:t>
      </w:r>
    </w:p>
    <w:p w14:paraId="5F959D0A" w14:textId="77777777" w:rsidR="001C4A0C" w:rsidRPr="001C4A0C" w:rsidRDefault="001C4A0C" w:rsidP="001C4A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premium skincare growth brand</w:t>
      </w:r>
    </w:p>
    <w:p w14:paraId="09B6839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Then US investors may apply a growth multiple premium.</w:t>
      </w:r>
    </w:p>
    <w:p w14:paraId="39E3147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 markets often reward narrative + brand momentum more than European exchanges.</w:t>
      </w:r>
    </w:p>
    <w:p w14:paraId="5795068D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0A0D47">
          <v:rect id="_x0000_i1037" style="width:0;height:1.5pt" o:hralign="center" o:hrstd="t" o:hr="t" fillcolor="#a0a0a0" stroked="f"/>
        </w:pict>
      </w:r>
    </w:p>
    <w:p w14:paraId="0B292997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3. If Expansion Becomes Acquisition-Led</w:t>
      </w:r>
    </w:p>
    <w:p w14:paraId="452D3B94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 management wants to build a portfolio like:</w:t>
      </w:r>
    </w:p>
    <w:p w14:paraId="73537FAB" w14:textId="77777777" w:rsidR="001C4A0C" w:rsidRPr="001C4A0C" w:rsidRDefault="001C4A0C" w:rsidP="001C4A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Estée Lauder (multi-brand house)</w:t>
      </w:r>
    </w:p>
    <w:p w14:paraId="6555BA54" w14:textId="77777777" w:rsidR="001C4A0C" w:rsidRPr="001C4A0C" w:rsidRDefault="001C4A0C" w:rsidP="001C4A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LVMH (luxury platform)</w:t>
      </w:r>
    </w:p>
    <w:p w14:paraId="24DA286C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 public equity becomes useful as acquisition currency.</w:t>
      </w:r>
    </w:p>
    <w:p w14:paraId="604D6D0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Relisting would enable:</w:t>
      </w:r>
    </w:p>
    <w:p w14:paraId="155CB5C8" w14:textId="77777777" w:rsidR="001C4A0C" w:rsidRPr="001C4A0C" w:rsidRDefault="001C4A0C" w:rsidP="001C4A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stock-financed M&amp;A</w:t>
      </w:r>
    </w:p>
    <w:p w14:paraId="20B68663" w14:textId="77777777" w:rsidR="001C4A0C" w:rsidRPr="001C4A0C" w:rsidRDefault="001C4A0C" w:rsidP="001C4A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employee equity incentives</w:t>
      </w:r>
    </w:p>
    <w:p w14:paraId="154E3772" w14:textId="77777777" w:rsidR="001C4A0C" w:rsidRPr="001C4A0C" w:rsidRDefault="001C4A0C" w:rsidP="001C4A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scale-driven consolidation</w:t>
      </w:r>
    </w:p>
    <w:p w14:paraId="74B1BBB8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EAC2EB1">
          <v:rect id="_x0000_i1038" style="width:0;height:1.5pt" o:hralign="center" o:hrstd="t" o:hr="t" fillcolor="#a0a0a0" stroked="f"/>
        </w:pict>
      </w:r>
    </w:p>
    <w:p w14:paraId="617B8198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4. US Listing Improves Global Consumer Visibility</w:t>
      </w:r>
    </w:p>
    <w:p w14:paraId="5A2798E1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 NYSE listing can act as marketing:</w:t>
      </w:r>
    </w:p>
    <w:p w14:paraId="3C20E8D3" w14:textId="77777777" w:rsidR="001C4A0C" w:rsidRPr="001C4A0C" w:rsidRDefault="001C4A0C" w:rsidP="001C4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credibility in North America</w:t>
      </w:r>
    </w:p>
    <w:p w14:paraId="5590AE82" w14:textId="77777777" w:rsidR="001C4A0C" w:rsidRPr="001C4A0C" w:rsidRDefault="001C4A0C" w:rsidP="001C4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stronger brand trust</w:t>
      </w:r>
    </w:p>
    <w:p w14:paraId="2A83927C" w14:textId="77777777" w:rsidR="001C4A0C" w:rsidRPr="001C4A0C" w:rsidRDefault="001C4A0C" w:rsidP="001C4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recruitment advantage</w:t>
      </w:r>
    </w:p>
    <w:p w14:paraId="1497700C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Especially if L’Occitane wants to accelerate US market penetration.</w:t>
      </w:r>
    </w:p>
    <w:p w14:paraId="10B23D66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EE59BF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0EA3F02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AA46D8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57FF81B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Reasons Against Relisting</w:t>
      </w:r>
    </w:p>
    <w:p w14:paraId="295E0F7B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D59F4A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884BC33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1. The US Listing Burden is the Highest Worldwide</w:t>
      </w:r>
    </w:p>
    <w:p w14:paraId="3734B430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SOX compliance remains costly and complex.</w:t>
      </w:r>
    </w:p>
    <w:p w14:paraId="7BF17019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 a mid-cap firm, the fixed cost is significant.</w:t>
      </w:r>
    </w:p>
    <w:p w14:paraId="7866670A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Relisting only makes sense if:</w:t>
      </w:r>
    </w:p>
    <w:p w14:paraId="0B8BE37F" w14:textId="77777777" w:rsidR="001C4A0C" w:rsidRPr="001C4A0C" w:rsidRDefault="001C4A0C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w:lastRenderedPageBreak/>
            <m:t>Capital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m:t>Need+Valuation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m:t>Premium&gt;Compliance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de-DE"/>
              <w14:ligatures w14:val="none"/>
            </w:rPr>
            <m:t>Costs</m:t>
          </m:r>
          <m:r>
            <w:rPr>
              <w:rFonts w:ascii="Cambria Math" w:eastAsia="Times New Roman" w:hAnsi="Cambria Math" w:cs="Times New Roman"/>
              <w:i/>
              <w:kern w:val="0"/>
              <w:lang w:eastAsia="de-DE"/>
              <w14:ligatures w14:val="none"/>
            </w:rPr>
            <w:br/>
          </m:r>
        </m:oMath>
      </m:oMathPara>
    </w:p>
    <w:p w14:paraId="10A3322B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F780D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FC8437B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2. Risk of Becoming a “Quarterly Earnings Company”</w:t>
      </w:r>
    </w:p>
    <w:p w14:paraId="20D1B7CD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Luxury brands often suffer when forced into:</w:t>
      </w:r>
    </w:p>
    <w:p w14:paraId="2884FF74" w14:textId="77777777" w:rsidR="001C4A0C" w:rsidRPr="001C4A0C" w:rsidRDefault="001C4A0C" w:rsidP="001C4A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short-term margin targets</w:t>
      </w:r>
    </w:p>
    <w:p w14:paraId="1148BFAA" w14:textId="77777777" w:rsidR="001C4A0C" w:rsidRPr="001C4A0C" w:rsidRDefault="001C4A0C" w:rsidP="001C4A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promotional pressure</w:t>
      </w:r>
    </w:p>
    <w:p w14:paraId="2EED8AEA" w14:textId="77777777" w:rsidR="001C4A0C" w:rsidRPr="001C4A0C" w:rsidRDefault="001C4A0C" w:rsidP="001C4A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cost-cutting that harms brand equity</w:t>
      </w:r>
    </w:p>
    <w:p w14:paraId="69F708A6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Private ownership protects against that.</w:t>
      </w:r>
    </w:p>
    <w:p w14:paraId="4513B9BF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9E039F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0C9AE61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3. Market Timing Risk in 2026</w:t>
      </w:r>
    </w:p>
    <w:p w14:paraId="7433787B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IPO markets are cyclical.</w:t>
      </w:r>
    </w:p>
    <w:p w14:paraId="75A1FE31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 2026 is uncertain due to:</w:t>
      </w:r>
    </w:p>
    <w:p w14:paraId="62A19336" w14:textId="77777777" w:rsidR="001C4A0C" w:rsidRPr="001C4A0C" w:rsidRDefault="001C4A0C" w:rsidP="001C4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recession risk</w:t>
      </w:r>
    </w:p>
    <w:p w14:paraId="6B9970BB" w14:textId="77777777" w:rsidR="001C4A0C" w:rsidRPr="001C4A0C" w:rsidRDefault="001C4A0C" w:rsidP="001C4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inflation persistence</w:t>
      </w:r>
    </w:p>
    <w:p w14:paraId="7886A845" w14:textId="77777777" w:rsidR="001C4A0C" w:rsidRPr="001C4A0C" w:rsidRDefault="001C4A0C" w:rsidP="001C4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weak discretionary spending</w:t>
      </w:r>
    </w:p>
    <w:p w14:paraId="60F2664F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 relisting could undervalue the firm again.</w:t>
      </w:r>
    </w:p>
    <w:p w14:paraId="4E4BDFA8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FCF241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FD00CA4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4. Strategic Question: Does L’Occitane Need Public Capital?</w:t>
      </w:r>
    </w:p>
    <w:p w14:paraId="7B81DCE5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 the company can fund growth through:</w:t>
      </w:r>
    </w:p>
    <w:p w14:paraId="40043DEB" w14:textId="77777777" w:rsidR="001C4A0C" w:rsidRPr="001C4A0C" w:rsidRDefault="001C4A0C" w:rsidP="001C4A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operating cash flows</w:t>
      </w:r>
    </w:p>
    <w:p w14:paraId="7DC83C74" w14:textId="77777777" w:rsidR="001C4A0C" w:rsidRPr="001C4A0C" w:rsidRDefault="001C4A0C" w:rsidP="001C4A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private equity backing</w:t>
      </w:r>
    </w:p>
    <w:p w14:paraId="05C4376A" w14:textId="77777777" w:rsidR="001C4A0C" w:rsidRPr="001C4A0C" w:rsidRDefault="001C4A0C" w:rsidP="001C4A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selective debt</w:t>
      </w:r>
    </w:p>
    <w:p w14:paraId="538E87FE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 public listing is unnecessary.</w:t>
      </w:r>
    </w:p>
    <w:p w14:paraId="1E03F4BD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Many luxury firms thrive privately for this reason.</w:t>
      </w:r>
    </w:p>
    <w:p w14:paraId="18D0CBDB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98F072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D295831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Extended Conclusion (Q5)</w:t>
      </w:r>
    </w:p>
    <w:p w14:paraId="56291C27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Relisting in the US in 2026 could make sense if:</w:t>
      </w:r>
    </w:p>
    <w:p w14:paraId="0229E188" w14:textId="77777777" w:rsidR="001C4A0C" w:rsidRPr="001C4A0C" w:rsidRDefault="001C4A0C" w:rsidP="001C4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L’Occitane wants aggressive US expansion</w:t>
      </w:r>
    </w:p>
    <w:p w14:paraId="1BBDDE53" w14:textId="77777777" w:rsidR="001C4A0C" w:rsidRPr="001C4A0C" w:rsidRDefault="001C4A0C" w:rsidP="001C4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 firm needs large-scale equity financing</w:t>
      </w:r>
    </w:p>
    <w:p w14:paraId="5E06C74E" w14:textId="77777777" w:rsidR="001C4A0C" w:rsidRPr="001C4A0C" w:rsidRDefault="001C4A0C" w:rsidP="001C4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 investors provide a valuation premium</w:t>
      </w:r>
    </w:p>
    <w:p w14:paraId="4518F22C" w14:textId="77777777" w:rsidR="001C4A0C" w:rsidRPr="001C4A0C" w:rsidRDefault="001C4A0C" w:rsidP="001C4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management plans major acquisition activity</w:t>
      </w:r>
    </w:p>
    <w:p w14:paraId="690F5EF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However, if the firm prioritizes:</w:t>
      </w:r>
    </w:p>
    <w:p w14:paraId="0DBB39E5" w14:textId="77777777" w:rsidR="001C4A0C" w:rsidRPr="001C4A0C" w:rsidRDefault="001C4A0C" w:rsidP="001C4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control</w:t>
      </w:r>
    </w:p>
    <w:p w14:paraId="62A8CBF3" w14:textId="77777777" w:rsidR="001C4A0C" w:rsidRPr="001C4A0C" w:rsidRDefault="001C4A0C" w:rsidP="001C4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brand integrity</w:t>
      </w:r>
    </w:p>
    <w:p w14:paraId="00A5073E" w14:textId="77777777" w:rsidR="001C4A0C" w:rsidRPr="001C4A0C" w:rsidRDefault="001C4A0C" w:rsidP="001C4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long-term investments</w:t>
      </w:r>
    </w:p>
    <w:p w14:paraId="56138075" w14:textId="77777777" w:rsidR="001C4A0C" w:rsidRPr="001C4A0C" w:rsidRDefault="001C4A0C" w:rsidP="001C4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avoiding quarterly market pressure</w:t>
      </w:r>
    </w:p>
    <w:p w14:paraId="4533E56B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 staying private remains optimal.</w:t>
      </w:r>
    </w:p>
    <w:p w14:paraId="72F501CD" w14:textId="77777777" w:rsidR="001C4A0C" w:rsidRPr="001C4A0C" w:rsidRDefault="00903137" w:rsidP="001C4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313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FB4BAD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C52FDB3" w14:textId="77777777" w:rsidR="001C4A0C" w:rsidRPr="001C4A0C" w:rsidRDefault="001C4A0C" w:rsidP="001C4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Final High-Level Insight (Beyond the Case)</w:t>
      </w:r>
    </w:p>
    <w:p w14:paraId="56DB88FA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L’Occitane’s journey reflects a broader corporate finance truth:</w:t>
      </w:r>
    </w:p>
    <w:p w14:paraId="3F22CD91" w14:textId="77777777" w:rsidR="001C4A0C" w:rsidRPr="001C4A0C" w:rsidRDefault="001C4A0C" w:rsidP="001C4A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IPOs are not permanent endpoints</w:t>
      </w:r>
    </w:p>
    <w:p w14:paraId="3534F8FC" w14:textId="77777777" w:rsidR="001C4A0C" w:rsidRPr="001C4A0C" w:rsidRDefault="001C4A0C" w:rsidP="001C4A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listing decisions are dynamic</w:t>
      </w:r>
    </w:p>
    <w:p w14:paraId="4C40B60F" w14:textId="77777777" w:rsidR="001C4A0C" w:rsidRPr="001C4A0C" w:rsidRDefault="001C4A0C" w:rsidP="001C4A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firms move between public and private depending on where value is maximized</w:t>
      </w:r>
    </w:p>
    <w:p w14:paraId="69954778" w14:textId="77777777" w:rsidR="001C4A0C" w:rsidRPr="001C4A0C" w:rsidRDefault="001C4A0C" w:rsidP="001C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4A0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 consumer luxury, private ownership is increasingly attractive because brand-building is a long-term game, not a quarterly one.</w:t>
      </w:r>
    </w:p>
    <w:p w14:paraId="788AEC20" w14:textId="77777777" w:rsidR="001C4A0C" w:rsidRDefault="001C4A0C"/>
    <w:sectPr w:rsidR="001C4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E84"/>
    <w:multiLevelType w:val="multilevel"/>
    <w:tmpl w:val="39C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6576"/>
    <w:multiLevelType w:val="multilevel"/>
    <w:tmpl w:val="79B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E0F1A"/>
    <w:multiLevelType w:val="multilevel"/>
    <w:tmpl w:val="2BC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3E3B"/>
    <w:multiLevelType w:val="multilevel"/>
    <w:tmpl w:val="27B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54AEF"/>
    <w:multiLevelType w:val="multilevel"/>
    <w:tmpl w:val="070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B4396"/>
    <w:multiLevelType w:val="multilevel"/>
    <w:tmpl w:val="166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314E2"/>
    <w:multiLevelType w:val="multilevel"/>
    <w:tmpl w:val="ABE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4CBB"/>
    <w:multiLevelType w:val="multilevel"/>
    <w:tmpl w:val="B81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B4DC4"/>
    <w:multiLevelType w:val="multilevel"/>
    <w:tmpl w:val="4AA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16F1E"/>
    <w:multiLevelType w:val="multilevel"/>
    <w:tmpl w:val="5A1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F4FB1"/>
    <w:multiLevelType w:val="multilevel"/>
    <w:tmpl w:val="EC1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F66A8"/>
    <w:multiLevelType w:val="multilevel"/>
    <w:tmpl w:val="FB1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D440F"/>
    <w:multiLevelType w:val="multilevel"/>
    <w:tmpl w:val="882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2412B"/>
    <w:multiLevelType w:val="multilevel"/>
    <w:tmpl w:val="C4A4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217EF"/>
    <w:multiLevelType w:val="multilevel"/>
    <w:tmpl w:val="BE7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B7BD0"/>
    <w:multiLevelType w:val="multilevel"/>
    <w:tmpl w:val="58B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44153"/>
    <w:multiLevelType w:val="multilevel"/>
    <w:tmpl w:val="7BE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A649A"/>
    <w:multiLevelType w:val="multilevel"/>
    <w:tmpl w:val="734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07569"/>
    <w:multiLevelType w:val="multilevel"/>
    <w:tmpl w:val="FA7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D1BBD"/>
    <w:multiLevelType w:val="multilevel"/>
    <w:tmpl w:val="8AC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33172"/>
    <w:multiLevelType w:val="multilevel"/>
    <w:tmpl w:val="2C7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77952"/>
    <w:multiLevelType w:val="multilevel"/>
    <w:tmpl w:val="13B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86A73"/>
    <w:multiLevelType w:val="multilevel"/>
    <w:tmpl w:val="2E1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33B3A"/>
    <w:multiLevelType w:val="multilevel"/>
    <w:tmpl w:val="E00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6443">
    <w:abstractNumId w:val="16"/>
  </w:num>
  <w:num w:numId="2" w16cid:durableId="2024629803">
    <w:abstractNumId w:val="9"/>
  </w:num>
  <w:num w:numId="3" w16cid:durableId="513496327">
    <w:abstractNumId w:val="11"/>
  </w:num>
  <w:num w:numId="4" w16cid:durableId="1216163720">
    <w:abstractNumId w:val="8"/>
  </w:num>
  <w:num w:numId="5" w16cid:durableId="1726370556">
    <w:abstractNumId w:val="6"/>
  </w:num>
  <w:num w:numId="6" w16cid:durableId="405541411">
    <w:abstractNumId w:val="15"/>
  </w:num>
  <w:num w:numId="7" w16cid:durableId="898785940">
    <w:abstractNumId w:val="3"/>
  </w:num>
  <w:num w:numId="8" w16cid:durableId="967660621">
    <w:abstractNumId w:val="2"/>
  </w:num>
  <w:num w:numId="9" w16cid:durableId="591160453">
    <w:abstractNumId w:val="12"/>
  </w:num>
  <w:num w:numId="10" w16cid:durableId="142746135">
    <w:abstractNumId w:val="0"/>
  </w:num>
  <w:num w:numId="11" w16cid:durableId="1092047249">
    <w:abstractNumId w:val="1"/>
  </w:num>
  <w:num w:numId="12" w16cid:durableId="389501289">
    <w:abstractNumId w:val="20"/>
  </w:num>
  <w:num w:numId="13" w16cid:durableId="584731128">
    <w:abstractNumId w:val="18"/>
  </w:num>
  <w:num w:numId="14" w16cid:durableId="1410229321">
    <w:abstractNumId w:val="21"/>
  </w:num>
  <w:num w:numId="15" w16cid:durableId="684137771">
    <w:abstractNumId w:val="4"/>
  </w:num>
  <w:num w:numId="16" w16cid:durableId="1647513495">
    <w:abstractNumId w:val="10"/>
  </w:num>
  <w:num w:numId="17" w16cid:durableId="220681851">
    <w:abstractNumId w:val="14"/>
  </w:num>
  <w:num w:numId="18" w16cid:durableId="1549341743">
    <w:abstractNumId w:val="19"/>
  </w:num>
  <w:num w:numId="19" w16cid:durableId="1455439124">
    <w:abstractNumId w:val="22"/>
  </w:num>
  <w:num w:numId="20" w16cid:durableId="2089957055">
    <w:abstractNumId w:val="17"/>
  </w:num>
  <w:num w:numId="21" w16cid:durableId="1044253618">
    <w:abstractNumId w:val="23"/>
  </w:num>
  <w:num w:numId="22" w16cid:durableId="338779830">
    <w:abstractNumId w:val="13"/>
  </w:num>
  <w:num w:numId="23" w16cid:durableId="786777990">
    <w:abstractNumId w:val="5"/>
  </w:num>
  <w:num w:numId="24" w16cid:durableId="558128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0C"/>
    <w:rsid w:val="001C4A0C"/>
    <w:rsid w:val="004D7690"/>
    <w:rsid w:val="0090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A4A216"/>
  <w15:chartTrackingRefBased/>
  <w15:docId w15:val="{E8B78A85-AD7E-B44E-A8DA-21E8E25A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4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4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4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4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4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4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4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4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4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4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4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4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4A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4A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4A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4A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4A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4A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4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4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4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4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4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4A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4A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4A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4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4A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4A0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C4A0C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C4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1C4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926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Stockenhuber</dc:creator>
  <cp:keywords/>
  <dc:description/>
  <cp:lastModifiedBy>Tobias Stockenhuber</cp:lastModifiedBy>
  <cp:revision>1</cp:revision>
  <dcterms:created xsi:type="dcterms:W3CDTF">2026-02-13T08:06:00Z</dcterms:created>
  <dcterms:modified xsi:type="dcterms:W3CDTF">2026-02-13T08:06:00Z</dcterms:modified>
</cp:coreProperties>
</file>