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IBM Plex Sans SmBld" w:hAnsi="IBM Plex Sans SmBld" w:cs="IBM Plex Sans SmBld" w:eastAsia="IBM Plex Sans SmBld"/>
          <w:b/>
          <w:sz w:val="40"/>
        </w:rPr>
        <w:t>Debtor Management</w:t>
      </w:r>
    </w:p>
    <w:p>
      <w:r>
        <w:rPr>
          <w:rFonts w:ascii="IBM Plex Sans" w:hAnsi="IBM Plex Sans" w:cs="IBM Plex Sans" w:eastAsia="IBM Plex Sans"/>
          <w:sz w:val="20"/>
        </w:rPr>
        <w:t>Debtor Management covers the student and fee payer record management that underpins accurate fee generation. It includes verifying that each student has the correct academic year, enrolment dates, and sibling order assigned before any fee batch is run, and confirming that financial responsibility percentages across all fee payers on a student's account total 100. It also covers the setup of split financial responsibility, allowing schools to define default billing percentages across multiple fee payers such as parents or guardians. Any errors in this data at the debtor level flow directly through to generated invoices, making this a critical step before running any billing cycle.</w:t>
      </w:r>
    </w:p>
    <w:p>
      <w:pPr>
        <w:pStyle w:val="Heading4"/>
      </w:pPr>
      <w:r>
        <w:rPr>
          <w:rFonts w:ascii="IBM Plex Sans" w:hAnsi="IBM Plex Sans" w:cs="IBM Plex Sans" w:eastAsia="IBM Plex Sans"/>
          <w:i/>
          <w:sz w:val="20"/>
        </w:rPr>
        <w:t>Student Master</w:t>
      </w:r>
    </w:p>
    <w:p>
      <w:r>
        <w:rPr>
          <w:rFonts w:ascii="IBM Plex Sans" w:hAnsi="IBM Plex Sans" w:cs="IBM Plex Sans" w:eastAsia="IBM Plex Sans"/>
          <w:sz w:val="20"/>
        </w:rPr>
        <w:t>Accurate fee generation depends entirely on the quality of the data held against each student's record. Before running any fee batch, it is essential to verify that each student has the correct academic year assigned, that their enrolment effective and expiration dates are current, that sibling order numbers are set for students eligible for family discounts, and that the financial responsibility percentages across all fee payers add up to 100. Any gaps or errors in this data at this stage will flow through to the invoices generated, making it significantly harder to correct after the fact.</w:t>
      </w:r>
    </w:p>
    <w:p>
      <w:pPr>
        <w:pStyle w:val="Heading1"/>
      </w:pPr>
      <w:r>
        <w:t>Check Student Master</w:t>
      </w:r>
    </w:p>
    <w:p>
      <w:pPr>
        <w:pStyle w:val="ListParagraph"/>
        <w:numPr>
          <w:ilvl w:val="0"/>
          <w:numId w:val="10"/>
        </w:numPr>
      </w:pPr>
      <w:r>
        <w:rPr>
          <w:rFonts w:ascii="IBM Plex Sans" w:hAnsi="IBM Plex Sans" w:cs="IBM Plex Sans" w:eastAsia="IBM Plex Sans"/>
          <w:sz w:val="20"/>
        </w:rPr>
        <w:t xml:space="preserve">From the </w:t>
      </w:r>
      <w:r>
        <w:rPr>
          <w:rFonts w:ascii="IBM Plex Sans" w:hAnsi="IBM Plex Sans" w:cs="IBM Plex Sans" w:eastAsia="IBM Plex Sans"/>
          <w:b/>
          <w:sz w:val="20"/>
        </w:rPr>
        <w:t>FNO dashboard</w:t>
      </w:r>
      <w:r>
        <w:rPr>
          <w:rFonts w:ascii="IBM Plex Sans" w:hAnsi="IBM Plex Sans" w:cs="IBM Plex Sans" w:eastAsia="IBM Plex Sans"/>
          <w:sz w:val="20"/>
        </w:rPr>
        <w:t xml:space="preserve">, open </w:t>
      </w:r>
      <w:r>
        <w:rPr>
          <w:rFonts w:ascii="IBM Plex Sans" w:hAnsi="IBM Plex Sans" w:cs="IBM Plex Sans" w:eastAsia="IBM Plex Sans"/>
          <w:b/>
          <w:sz w:val="20"/>
        </w:rPr>
        <w:t>Modules</w:t>
      </w:r>
      <w:r>
        <w:rPr>
          <w:rFonts w:ascii="IBM Plex Sans" w:hAnsi="IBM Plex Sans" w:cs="IBM Plex Sans" w:eastAsia="IBM Plex Sans"/>
          <w:sz w:val="20"/>
        </w:rPr>
        <w:t xml:space="preserve"> ▸ </w:t>
      </w:r>
      <w:r>
        <w:rPr>
          <w:rFonts w:ascii="IBM Plex Sans" w:hAnsi="IBM Plex Sans" w:cs="IBM Plex Sans" w:eastAsia="IBM Plex Sans"/>
          <w:b/>
          <w:sz w:val="20"/>
        </w:rPr>
        <w:t>Academic Management</w:t>
      </w:r>
      <w:r>
        <w:rPr>
          <w:rFonts w:ascii="IBM Plex Sans" w:hAnsi="IBM Plex Sans" w:cs="IBM Plex Sans" w:eastAsia="IBM Plex Sans"/>
          <w:sz w:val="20"/>
        </w:rPr>
        <w:t>.</w:t>
      </w:r>
    </w:p>
    <w:p>
      <w:pPr>
        <w:pStyle w:val="ListParagraph"/>
        <w:numPr>
          <w:ilvl w:val="0"/>
          <w:numId w:val="10"/>
        </w:numPr>
      </w:pPr>
      <w:r>
        <w:rPr>
          <w:rFonts w:ascii="IBM Plex Sans" w:hAnsi="IBM Plex Sans" w:cs="IBM Plex Sans" w:eastAsia="IBM Plex Sans"/>
          <w:sz w:val="20"/>
        </w:rPr>
        <w:t xml:space="preserve">Expand </w:t>
      </w:r>
      <w:r>
        <w:rPr>
          <w:rFonts w:ascii="IBM Plex Sans" w:hAnsi="IBM Plex Sans" w:cs="IBM Plex Sans" w:eastAsia="IBM Plex Sans"/>
          <w:b/>
          <w:sz w:val="20"/>
        </w:rPr>
        <w:t>Students</w:t>
      </w:r>
      <w:r>
        <w:rPr>
          <w:rFonts w:ascii="IBM Plex Sans" w:hAnsi="IBM Plex Sans" w:cs="IBM Plex Sans" w:eastAsia="IBM Plex Sans"/>
          <w:sz w:val="20"/>
        </w:rPr>
        <w:t xml:space="preserve"> and click </w:t>
      </w:r>
      <w:r>
        <w:rPr>
          <w:rFonts w:ascii="IBM Plex Sans" w:hAnsi="IBM Plex Sans" w:cs="IBM Plex Sans" w:eastAsia="IBM Plex Sans"/>
          <w:b/>
          <w:sz w:val="20"/>
        </w:rPr>
        <w:t>All students</w:t>
      </w:r>
      <w:r>
        <w:rPr>
          <w:rFonts w:ascii="IBM Plex Sans" w:hAnsi="IBM Plex Sans" w:cs="IBM Plex Sans" w:eastAsia="IBM Plex Sans"/>
          <w:sz w:val="20"/>
        </w:rPr>
        <w:t>.</w:t>
      </w:r>
    </w:p>
    <w:p>
      <w:pPr>
        <w:pStyle w:val="ListParagraph"/>
        <w:numPr>
          <w:ilvl w:val="0"/>
          <w:numId w:val="10"/>
        </w:numPr>
      </w:pPr>
      <w:r>
        <w:rPr>
          <w:rFonts w:ascii="IBM Plex Sans" w:hAnsi="IBM Plex Sans" w:cs="IBM Plex Sans" w:eastAsia="IBM Plex Sans"/>
          <w:sz w:val="20"/>
        </w:rPr>
        <w:t xml:space="preserve">Click on a </w:t>
      </w:r>
      <w:r>
        <w:rPr>
          <w:rFonts w:ascii="IBM Plex Sans" w:hAnsi="IBM Plex Sans" w:cs="IBM Plex Sans" w:eastAsia="IBM Plex Sans"/>
          <w:b/>
          <w:sz w:val="20"/>
        </w:rPr>
        <w:t>student</w:t>
      </w:r>
      <w:r>
        <w:rPr>
          <w:rFonts w:ascii="IBM Plex Sans" w:hAnsi="IBM Plex Sans" w:cs="IBM Plex Sans" w:eastAsia="IBM Plex Sans"/>
          <w:sz w:val="20"/>
        </w:rPr>
        <w:t>'s name to retrieve their details.</w:t>
      </w:r>
    </w:p>
    <w:p>
      <w:pPr>
        <w:pStyle w:val="ListParagraph"/>
        <w:numPr>
          <w:ilvl w:val="0"/>
          <w:numId w:val="10"/>
        </w:numPr>
      </w:pPr>
      <w:r>
        <w:rPr>
          <w:rFonts w:ascii="IBM Plex Sans" w:hAnsi="IBM Plex Sans" w:cs="IBM Plex Sans" w:eastAsia="IBM Plex Sans"/>
          <w:sz w:val="20"/>
        </w:rPr>
        <w:t>Confirm the Current academic year under Enrolment details and update if required in the student management system.</w:t>
      </w:r>
    </w:p>
    <w:p>
      <w:pPr>
        <w:pStyle w:val="ListParagraph"/>
        <w:numPr>
          <w:ilvl w:val="0"/>
          <w:numId w:val="10"/>
        </w:numPr>
      </w:pPr>
      <w:r>
        <w:rPr>
          <w:rFonts w:ascii="IBM Plex Sans" w:hAnsi="IBM Plex Sans" w:cs="IBM Plex Sans" w:eastAsia="IBM Plex Sans"/>
          <w:sz w:val="20"/>
        </w:rPr>
        <w:t xml:space="preserve">Open the </w:t>
      </w:r>
      <w:r>
        <w:rPr>
          <w:rFonts w:ascii="IBM Plex Sans" w:hAnsi="IBM Plex Sans" w:cs="IBM Plex Sans" w:eastAsia="IBM Plex Sans"/>
          <w:b/>
          <w:sz w:val="20"/>
        </w:rPr>
        <w:t>Academic</w:t>
      </w:r>
      <w:r>
        <w:rPr>
          <w:rFonts w:ascii="IBM Plex Sans" w:hAnsi="IBM Plex Sans" w:cs="IBM Plex Sans" w:eastAsia="IBM Plex Sans"/>
          <w:sz w:val="20"/>
        </w:rPr>
        <w:t xml:space="preserve"> tab in the top toolbar.</w:t>
      </w:r>
    </w:p>
    <w:p>
      <w:pPr>
        <w:pStyle w:val="ListParagraph"/>
        <w:numPr>
          <w:ilvl w:val="0"/>
          <w:numId w:val="10"/>
        </w:numPr>
      </w:pPr>
      <w:r>
        <w:rPr>
          <w:rFonts w:ascii="IBM Plex Sans" w:hAnsi="IBM Plex Sans" w:cs="IBM Plex Sans" w:eastAsia="IBM Plex Sans"/>
          <w:sz w:val="20"/>
        </w:rPr>
        <w:t xml:space="preserve">Click on </w:t>
      </w:r>
      <w:r>
        <w:rPr>
          <w:rFonts w:ascii="IBM Plex Sans" w:hAnsi="IBM Plex Sans" w:cs="IBM Plex Sans" w:eastAsia="IBM Plex Sans"/>
          <w:b/>
          <w:sz w:val="20"/>
        </w:rPr>
        <w:t>Academic enrolments</w:t>
      </w:r>
      <w:r>
        <w:rPr>
          <w:rFonts w:ascii="IBM Plex Sans" w:hAnsi="IBM Plex Sans" w:cs="IBM Plex Sans" w:eastAsia="IBM Plex Sans"/>
          <w:sz w:val="20"/>
        </w:rPr>
        <w:t xml:space="preserve"> under Related information.</w:t>
      </w:r>
    </w:p>
    <w:p>
      <w:pPr>
        <w:pStyle w:val="ListParagraph"/>
        <w:numPr>
          <w:ilvl w:val="0"/>
          <w:numId w:val="10"/>
        </w:numPr>
      </w:pPr>
      <w:r>
        <w:rPr>
          <w:rFonts w:ascii="IBM Plex Sans" w:hAnsi="IBM Plex Sans" w:cs="IBM Plex Sans" w:eastAsia="IBM Plex Sans"/>
          <w:sz w:val="20"/>
        </w:rPr>
        <w:t xml:space="preserve">Confirm the </w:t>
      </w:r>
      <w:r>
        <w:rPr>
          <w:rFonts w:ascii="IBM Plex Sans" w:hAnsi="IBM Plex Sans" w:cs="IBM Plex Sans" w:eastAsia="IBM Plex Sans"/>
          <w:b/>
          <w:sz w:val="20"/>
        </w:rPr>
        <w:t>Effective date</w:t>
      </w:r>
      <w:r>
        <w:rPr>
          <w:rFonts w:ascii="IBM Plex Sans" w:hAnsi="IBM Plex Sans" w:cs="IBM Plex Sans" w:eastAsia="IBM Plex Sans"/>
          <w:sz w:val="20"/>
        </w:rPr>
        <w:t xml:space="preserve"> and </w:t>
      </w:r>
      <w:r>
        <w:rPr>
          <w:rFonts w:ascii="IBM Plex Sans" w:hAnsi="IBM Plex Sans" w:cs="IBM Plex Sans" w:eastAsia="IBM Plex Sans"/>
          <w:b/>
          <w:sz w:val="20"/>
        </w:rPr>
        <w:t>Expiration date</w:t>
      </w:r>
      <w:r>
        <w:rPr>
          <w:rFonts w:ascii="IBM Plex Sans" w:hAnsi="IBM Plex Sans" w:cs="IBM Plex Sans" w:eastAsia="IBM Plex Sans"/>
          <w:sz w:val="20"/>
        </w:rPr>
        <w:t xml:space="preserve"> and update if needed.</w:t>
      </w:r>
    </w:p>
    <w:p>
      <w:pPr>
        <w:pStyle w:val="ListParagraph"/>
        <w:numPr>
          <w:ilvl w:val="0"/>
          <w:numId w:val="10"/>
        </w:numPr>
      </w:pPr>
      <w:r>
        <w:rPr>
          <w:rFonts w:ascii="IBM Plex Sans" w:hAnsi="IBM Plex Sans" w:cs="IBM Plex Sans" w:eastAsia="IBM Plex Sans"/>
          <w:sz w:val="20"/>
        </w:rPr>
        <w:t xml:space="preserve">Click </w:t>
      </w:r>
      <w:r>
        <w:rPr>
          <w:rFonts w:ascii="IBM Plex Sans" w:hAnsi="IBM Plex Sans" w:cs="IBM Plex Sans" w:eastAsia="IBM Plex Sans"/>
          <w:b/>
          <w:sz w:val="20"/>
        </w:rPr>
        <w:t>Back</w:t>
      </w:r>
      <w:r>
        <w:rPr>
          <w:rFonts w:ascii="IBM Plex Sans" w:hAnsi="IBM Plex Sans" w:cs="IBM Plex Sans" w:eastAsia="IBM Plex Sans"/>
          <w:sz w:val="20"/>
        </w:rPr>
        <w:t xml:space="preserve"> in the top toolbar.</w:t>
      </w:r>
    </w:p>
    <w:p>
      <w:pPr>
        <w:pStyle w:val="ListParagraph"/>
        <w:numPr>
          <w:ilvl w:val="0"/>
          <w:numId w:val="10"/>
        </w:numPr>
      </w:pPr>
      <w:r>
        <w:rPr>
          <w:rFonts w:ascii="IBM Plex Sans" w:hAnsi="IBM Plex Sans" w:cs="IBM Plex Sans" w:eastAsia="IBM Plex Sans"/>
          <w:sz w:val="20"/>
        </w:rPr>
        <w:t>If the student has siblings, confirm the Sibling field under General has a number (e.g., eldest sibling = 1).</w:t>
      </w:r>
    </w:p>
    <w:p>
      <w:pPr>
        <w:pStyle w:val="ListParagraph"/>
        <w:numPr>
          <w:ilvl w:val="0"/>
          <w:numId w:val="10"/>
        </w:numPr>
      </w:pPr>
      <w:r>
        <w:rPr>
          <w:rFonts w:ascii="IBM Plex Sans" w:hAnsi="IBM Plex Sans" w:cs="IBM Plex Sans" w:eastAsia="IBM Plex Sans"/>
          <w:sz w:val="20"/>
        </w:rPr>
        <w:t xml:space="preserve">In the Relationships section, ensure the total </w:t>
      </w:r>
      <w:r>
        <w:rPr>
          <w:rFonts w:ascii="IBM Plex Sans" w:hAnsi="IBM Plex Sans" w:cs="IBM Plex Sans" w:eastAsia="IBM Plex Sans"/>
          <w:b/>
          <w:sz w:val="20"/>
        </w:rPr>
        <w:t>Paid percentage equals 100.00</w:t>
      </w:r>
      <w:r>
        <w:rPr>
          <w:rFonts w:ascii="IBM Plex Sans" w:hAnsi="IBM Plex Sans" w:cs="IBM Plex Sans" w:eastAsia="IBM Plex Sans"/>
          <w:sz w:val="20"/>
        </w:rPr>
        <w:t>.</w:t>
      </w:r>
    </w:p>
    <w:p>
      <w:pPr>
        <w:pStyle w:val="ListParagraph"/>
        <w:numPr>
          <w:ilvl w:val="0"/>
          <w:numId w:val="10"/>
        </w:numPr>
      </w:pPr>
      <w:r>
        <w:rPr>
          <w:rFonts w:ascii="IBM Plex Sans" w:hAnsi="IBM Plex Sans" w:cs="IBM Plex Sans" w:eastAsia="IBM Plex Sans"/>
          <w:sz w:val="20"/>
        </w:rPr>
        <w:t xml:space="preserve">Click </w:t>
      </w:r>
      <w:r>
        <w:rPr>
          <w:rFonts w:ascii="IBM Plex Sans" w:hAnsi="IBM Plex Sans" w:cs="IBM Plex Sans" w:eastAsia="IBM Plex Sans"/>
          <w:b/>
          <w:sz w:val="20"/>
        </w:rPr>
        <w:t>Save</w:t>
      </w:r>
      <w:r>
        <w:rPr>
          <w:rFonts w:ascii="IBM Plex Sans" w:hAnsi="IBM Plex Sans" w:cs="IBM Plex Sans" w:eastAsia="IBM Plex Sans"/>
          <w:sz w:val="20"/>
        </w:rPr>
        <w:t xml:space="preserve"> if any changes were made.</w:t>
      </w:r>
    </w:p>
    <w:p>
      <w:pPr>
        <w:jc w:val="center"/>
      </w:pPr>
      <w:r>
        <w:drawing>
          <wp:inline xmlns:a="http://schemas.openxmlformats.org/drawingml/2006/main" xmlns:pic="http://schemas.openxmlformats.org/drawingml/2006/picture">
            <wp:extent cx="5486400" cy="2664000"/>
            <wp:docPr id="1" name="Picture 1"/>
            <wp:cNvGraphicFramePr>
              <a:graphicFrameLocks noChangeAspect="1"/>
            </wp:cNvGraphicFramePr>
            <a:graphic>
              <a:graphicData uri="http://schemas.openxmlformats.org/drawingml/2006/picture">
                <pic:pic>
                  <pic:nvPicPr>
                    <pic:cNvPr id="0" name="check_student_details_creation_1.png"/>
                    <pic:cNvPicPr/>
                  </pic:nvPicPr>
                  <pic:blipFill>
                    <a:blip r:embed="rId9"/>
                    <a:stretch>
                      <a:fillRect/>
                    </a:stretch>
                  </pic:blipFill>
                  <pic:spPr>
                    <a:xfrm>
                      <a:off x="0" y="0"/>
                      <a:ext cx="5486400" cy="2664000"/>
                    </a:xfrm>
                    <a:prstGeom prst="rect"/>
                  </pic:spPr>
                </pic:pic>
              </a:graphicData>
            </a:graphic>
          </wp:inline>
        </w:drawing>
      </w:r>
    </w:p>
    <w:p>
      <w:pPr>
        <w:jc w:val="center"/>
      </w:pPr>
      <w:r>
        <w:drawing>
          <wp:inline xmlns:a="http://schemas.openxmlformats.org/drawingml/2006/main" xmlns:pic="http://schemas.openxmlformats.org/drawingml/2006/picture">
            <wp:extent cx="5486400" cy="1912971"/>
            <wp:docPr id="2" name="Picture 2"/>
            <wp:cNvGraphicFramePr>
              <a:graphicFrameLocks noChangeAspect="1"/>
            </wp:cNvGraphicFramePr>
            <a:graphic>
              <a:graphicData uri="http://schemas.openxmlformats.org/drawingml/2006/picture">
                <pic:pic>
                  <pic:nvPicPr>
                    <pic:cNvPr id="0" name="check_student_details_creation_2.png"/>
                    <pic:cNvPicPr/>
                  </pic:nvPicPr>
                  <pic:blipFill>
                    <a:blip r:embed="rId10"/>
                    <a:stretch>
                      <a:fillRect/>
                    </a:stretch>
                  </pic:blipFill>
                  <pic:spPr>
                    <a:xfrm>
                      <a:off x="0" y="0"/>
                      <a:ext cx="5486400" cy="1912971"/>
                    </a:xfrm>
                    <a:prstGeom prst="rect"/>
                  </pic:spPr>
                </pic:pic>
              </a:graphicData>
            </a:graphic>
          </wp:inline>
        </w:drawing>
      </w:r>
    </w:p>
    <w:p>
      <w:pPr>
        <w:jc w:val="center"/>
      </w:pPr>
      <w:r>
        <w:drawing>
          <wp:inline xmlns:a="http://schemas.openxmlformats.org/drawingml/2006/main" xmlns:pic="http://schemas.openxmlformats.org/drawingml/2006/picture">
            <wp:extent cx="5486400" cy="2406316"/>
            <wp:docPr id="3" name="Picture 3"/>
            <wp:cNvGraphicFramePr>
              <a:graphicFrameLocks noChangeAspect="1"/>
            </wp:cNvGraphicFramePr>
            <a:graphic>
              <a:graphicData uri="http://schemas.openxmlformats.org/drawingml/2006/picture">
                <pic:pic>
                  <pic:nvPicPr>
                    <pic:cNvPr id="0" name="check_student_details_creation_3.png"/>
                    <pic:cNvPicPr/>
                  </pic:nvPicPr>
                  <pic:blipFill>
                    <a:blip r:embed="rId11"/>
                    <a:stretch>
                      <a:fillRect/>
                    </a:stretch>
                  </pic:blipFill>
                  <pic:spPr>
                    <a:xfrm>
                      <a:off x="0" y="0"/>
                      <a:ext cx="5486400" cy="2406316"/>
                    </a:xfrm>
                    <a:prstGeom prst="rect"/>
                  </pic:spPr>
                </pic:pic>
              </a:graphicData>
            </a:graphic>
          </wp:inline>
        </w:drawing>
      </w:r>
    </w:p>
    <w:p>
      <w:pPr>
        <w:jc w:val="center"/>
      </w:pPr>
      <w:r>
        <w:drawing>
          <wp:inline xmlns:a="http://schemas.openxmlformats.org/drawingml/2006/main" xmlns:pic="http://schemas.openxmlformats.org/drawingml/2006/picture">
            <wp:extent cx="5486400" cy="3119718"/>
            <wp:docPr id="4" name="Picture 4"/>
            <wp:cNvGraphicFramePr>
              <a:graphicFrameLocks noChangeAspect="1"/>
            </wp:cNvGraphicFramePr>
            <a:graphic>
              <a:graphicData uri="http://schemas.openxmlformats.org/drawingml/2006/picture">
                <pic:pic>
                  <pic:nvPicPr>
                    <pic:cNvPr id="0" name="check_student_details_creation_4.png"/>
                    <pic:cNvPicPr/>
                  </pic:nvPicPr>
                  <pic:blipFill>
                    <a:blip r:embed="rId12"/>
                    <a:stretch>
                      <a:fillRect/>
                    </a:stretch>
                  </pic:blipFill>
                  <pic:spPr>
                    <a:xfrm>
                      <a:off x="0" y="0"/>
                      <a:ext cx="5486400" cy="3119718"/>
                    </a:xfrm>
                    <a:prstGeom prst="rect"/>
                  </pic:spPr>
                </pic:pic>
              </a:graphicData>
            </a:graphic>
          </wp:inline>
        </w:drawing>
      </w:r>
    </w:p>
    <w:p>
      <w:pPr>
        <w:pStyle w:val="Heading1"/>
      </w:pPr>
      <w:r>
        <w:t>Fee Payer as Customer</w:t>
      </w:r>
    </w:p>
    <w:p>
      <w:pPr>
        <w:pStyle w:val="Heading1"/>
      </w:pPr>
      <w:r>
        <w:t>Student Setup – Financial Responsibility</w:t>
      </w:r>
    </w:p>
    <w:p>
      <w:pPr>
        <w:pStyle w:val="ListParagraph"/>
        <w:numPr>
          <w:ilvl w:val="0"/>
          <w:numId w:val="11"/>
        </w:numPr>
      </w:pPr>
      <w:r>
        <w:rPr>
          <w:rFonts w:ascii="IBM Plex Sans" w:hAnsi="IBM Plex Sans" w:cs="IBM Plex Sans" w:eastAsia="IBM Plex Sans"/>
          <w:sz w:val="20"/>
        </w:rPr>
        <w:t xml:space="preserve">From the </w:t>
      </w:r>
      <w:r>
        <w:rPr>
          <w:rFonts w:ascii="IBM Plex Sans" w:hAnsi="IBM Plex Sans" w:cs="IBM Plex Sans" w:eastAsia="IBM Plex Sans"/>
          <w:b/>
          <w:sz w:val="20"/>
        </w:rPr>
        <w:t>FNO dashboard</w:t>
      </w:r>
      <w:r>
        <w:rPr>
          <w:rFonts w:ascii="IBM Plex Sans" w:hAnsi="IBM Plex Sans" w:cs="IBM Plex Sans" w:eastAsia="IBM Plex Sans"/>
          <w:sz w:val="20"/>
        </w:rPr>
        <w:t xml:space="preserve">, open </w:t>
      </w:r>
      <w:r>
        <w:rPr>
          <w:rFonts w:ascii="IBM Plex Sans" w:hAnsi="IBM Plex Sans" w:cs="IBM Plex Sans" w:eastAsia="IBM Plex Sans"/>
          <w:b/>
          <w:sz w:val="20"/>
        </w:rPr>
        <w:t>Modules</w:t>
      </w:r>
      <w:r>
        <w:rPr>
          <w:rFonts w:ascii="IBM Plex Sans" w:hAnsi="IBM Plex Sans" w:cs="IBM Plex Sans" w:eastAsia="IBM Plex Sans"/>
          <w:sz w:val="20"/>
        </w:rPr>
        <w:t xml:space="preserve"> ▸ </w:t>
      </w:r>
      <w:r>
        <w:rPr>
          <w:rFonts w:ascii="IBM Plex Sans" w:hAnsi="IBM Plex Sans" w:cs="IBM Plex Sans" w:eastAsia="IBM Plex Sans"/>
          <w:b/>
          <w:sz w:val="20"/>
        </w:rPr>
        <w:t>Academic Management</w:t>
      </w:r>
      <w:r>
        <w:rPr>
          <w:rFonts w:ascii="IBM Plex Sans" w:hAnsi="IBM Plex Sans" w:cs="IBM Plex Sans" w:eastAsia="IBM Plex Sans"/>
          <w:sz w:val="20"/>
        </w:rPr>
        <w:t>.</w:t>
      </w:r>
    </w:p>
    <w:p>
      <w:pPr>
        <w:pStyle w:val="ListParagraph"/>
        <w:numPr>
          <w:ilvl w:val="0"/>
          <w:numId w:val="11"/>
        </w:numPr>
      </w:pPr>
      <w:r>
        <w:rPr>
          <w:rFonts w:ascii="IBM Plex Sans" w:hAnsi="IBM Plex Sans" w:cs="IBM Plex Sans" w:eastAsia="IBM Plex Sans"/>
          <w:sz w:val="20"/>
        </w:rPr>
        <w:t xml:space="preserve">Expand </w:t>
      </w:r>
      <w:r>
        <w:rPr>
          <w:rFonts w:ascii="IBM Plex Sans" w:hAnsi="IBM Plex Sans" w:cs="IBM Plex Sans" w:eastAsia="IBM Plex Sans"/>
          <w:b/>
          <w:sz w:val="20"/>
        </w:rPr>
        <w:t>Students</w:t>
      </w:r>
      <w:r>
        <w:rPr>
          <w:rFonts w:ascii="IBM Plex Sans" w:hAnsi="IBM Plex Sans" w:cs="IBM Plex Sans" w:eastAsia="IBM Plex Sans"/>
          <w:sz w:val="20"/>
        </w:rPr>
        <w:t xml:space="preserve"> and click </w:t>
      </w:r>
      <w:r>
        <w:rPr>
          <w:rFonts w:ascii="IBM Plex Sans" w:hAnsi="IBM Plex Sans" w:cs="IBM Plex Sans" w:eastAsia="IBM Plex Sans"/>
          <w:b/>
          <w:sz w:val="20"/>
        </w:rPr>
        <w:t>All students</w:t>
      </w:r>
      <w:r>
        <w:rPr>
          <w:rFonts w:ascii="IBM Plex Sans" w:hAnsi="IBM Plex Sans" w:cs="IBM Plex Sans" w:eastAsia="IBM Plex Sans"/>
          <w:sz w:val="20"/>
        </w:rPr>
        <w:t>.</w:t>
      </w:r>
    </w:p>
    <w:p>
      <w:pPr>
        <w:pStyle w:val="ListParagraph"/>
        <w:numPr>
          <w:ilvl w:val="0"/>
          <w:numId w:val="11"/>
        </w:numPr>
      </w:pPr>
      <w:r>
        <w:rPr>
          <w:rFonts w:ascii="IBM Plex Sans" w:hAnsi="IBM Plex Sans" w:cs="IBM Plex Sans" w:eastAsia="IBM Plex Sans"/>
          <w:sz w:val="20"/>
        </w:rPr>
        <w:t xml:space="preserve">Select the </w:t>
      </w:r>
      <w:r>
        <w:rPr>
          <w:rFonts w:ascii="IBM Plex Sans" w:hAnsi="IBM Plex Sans" w:cs="IBM Plex Sans" w:eastAsia="IBM Plex Sans"/>
          <w:b/>
          <w:sz w:val="20"/>
        </w:rPr>
        <w:t>student profile</w:t>
      </w:r>
      <w:r>
        <w:rPr>
          <w:rFonts w:ascii="IBM Plex Sans" w:hAnsi="IBM Plex Sans" w:cs="IBM Plex Sans" w:eastAsia="IBM Plex Sans"/>
          <w:sz w:val="20"/>
        </w:rPr>
        <w:t>.</w:t>
      </w:r>
    </w:p>
    <w:p>
      <w:pPr>
        <w:pStyle w:val="ListParagraph"/>
        <w:numPr>
          <w:ilvl w:val="0"/>
          <w:numId w:val="11"/>
        </w:numPr>
      </w:pPr>
      <w:r>
        <w:rPr>
          <w:rFonts w:ascii="IBM Plex Sans" w:hAnsi="IBM Plex Sans" w:cs="IBM Plex Sans" w:eastAsia="IBM Plex Sans"/>
          <w:sz w:val="20"/>
        </w:rPr>
        <w:t xml:space="preserve">Under the student's account in the </w:t>
      </w:r>
      <w:r>
        <w:rPr>
          <w:rFonts w:ascii="IBM Plex Sans" w:hAnsi="IBM Plex Sans" w:cs="IBM Plex Sans" w:eastAsia="IBM Plex Sans"/>
          <w:b/>
          <w:sz w:val="20"/>
        </w:rPr>
        <w:t>Relationships</w:t>
      </w:r>
      <w:r>
        <w:rPr>
          <w:rFonts w:ascii="IBM Plex Sans" w:hAnsi="IBM Plex Sans" w:cs="IBM Plex Sans" w:eastAsia="IBM Plex Sans"/>
          <w:sz w:val="20"/>
        </w:rPr>
        <w:t xml:space="preserve"> section, ensure </w:t>
      </w:r>
      <w:r>
        <w:rPr>
          <w:rFonts w:ascii="IBM Plex Sans" w:hAnsi="IBM Plex Sans" w:cs="IBM Plex Sans" w:eastAsia="IBM Plex Sans"/>
          <w:b/>
          <w:sz w:val="20"/>
        </w:rPr>
        <w:t>at least two fee payers</w:t>
      </w:r>
      <w:r>
        <w:rPr>
          <w:rFonts w:ascii="IBM Plex Sans" w:hAnsi="IBM Plex Sans" w:cs="IBM Plex Sans" w:eastAsia="IBM Plex Sans"/>
          <w:sz w:val="20"/>
        </w:rPr>
        <w:t xml:space="preserve"> are assigned (e.g., Mom and Dad).</w:t>
      </w:r>
    </w:p>
    <w:p>
      <w:pPr>
        <w:pStyle w:val="ListParagraph"/>
        <w:numPr>
          <w:ilvl w:val="0"/>
          <w:numId w:val="11"/>
        </w:numPr>
      </w:pPr>
      <w:r>
        <w:rPr>
          <w:rFonts w:ascii="IBM Plex Sans" w:hAnsi="IBM Plex Sans" w:cs="IBM Plex Sans" w:eastAsia="IBM Plex Sans"/>
          <w:sz w:val="20"/>
        </w:rPr>
        <w:t xml:space="preserve">Assign default </w:t>
      </w:r>
      <w:r>
        <w:rPr>
          <w:rFonts w:ascii="IBM Plex Sans" w:hAnsi="IBM Plex Sans" w:cs="IBM Plex Sans" w:eastAsia="IBM Plex Sans"/>
          <w:b/>
          <w:sz w:val="20"/>
        </w:rPr>
        <w:t>split percentages</w:t>
      </w:r>
      <w:r>
        <w:rPr>
          <w:rFonts w:ascii="IBM Plex Sans" w:hAnsi="IBM Plex Sans" w:cs="IBM Plex Sans" w:eastAsia="IBM Plex Sans"/>
          <w:sz w:val="20"/>
        </w:rPr>
        <w:t xml:space="preserve"> for each payer (e.g., 50% each).</w:t>
      </w:r>
    </w:p>
    <w:p>
      <w:pPr>
        <w:pStyle w:val="Quote"/>
      </w:pPr>
      <w:r>
        <w:rPr>
          <w:rFonts w:ascii="IBM Plex Sans Light" w:hAnsi="IBM Plex Sans Light" w:cs="IBM Plex Sans Light" w:eastAsia="IBM Plex Sans Light"/>
          <w:b/>
          <w:sz w:val="22"/>
        </w:rPr>
        <w:t xml:space="preserve">Note: </w:t>
      </w:r>
      <w:r>
        <w:rPr>
          <w:rFonts w:ascii="IBM Plex Sans Light" w:hAnsi="IBM Plex Sans Light" w:cs="IBM Plex Sans Light" w:eastAsia="IBM Plex Sans Light"/>
          <w:i/>
          <w:sz w:val="22"/>
        </w:rPr>
        <w:t>This is the baseline for all fees unless overridden.</w:t>
      </w:r>
    </w:p>
    <w:p>
      <w:pPr>
        <w:jc w:val="center"/>
      </w:pPr>
      <w:r>
        <w:drawing>
          <wp:inline xmlns:a="http://schemas.openxmlformats.org/drawingml/2006/main" xmlns:pic="http://schemas.openxmlformats.org/drawingml/2006/picture">
            <wp:extent cx="5486400" cy="3333369"/>
            <wp:docPr id="5" name="Picture 5"/>
            <wp:cNvGraphicFramePr>
              <a:graphicFrameLocks noChangeAspect="1"/>
            </wp:cNvGraphicFramePr>
            <a:graphic>
              <a:graphicData uri="http://schemas.openxmlformats.org/drawingml/2006/picture">
                <pic:pic>
                  <pic:nvPicPr>
                    <pic:cNvPr id="0" name="setup_student_financial_responsibility_1.png"/>
                    <pic:cNvPicPr/>
                  </pic:nvPicPr>
                  <pic:blipFill>
                    <a:blip r:embed="rId13"/>
                    <a:stretch>
                      <a:fillRect/>
                    </a:stretch>
                  </pic:blipFill>
                  <pic:spPr>
                    <a:xfrm>
                      <a:off x="0" y="0"/>
                      <a:ext cx="5486400" cy="3333369"/>
                    </a:xfrm>
                    <a:prstGeom prst="rect"/>
                  </pic:spPr>
                </pic:pic>
              </a:graphicData>
            </a:graphic>
          </wp:inline>
        </w:drawing>
      </w:r>
    </w:p>
    <w:p>
      <w:pPr>
        <w:jc w:val="center"/>
      </w:pPr>
      <w:r>
        <w:drawing>
          <wp:inline xmlns:a="http://schemas.openxmlformats.org/drawingml/2006/main" xmlns:pic="http://schemas.openxmlformats.org/drawingml/2006/picture">
            <wp:extent cx="5486400" cy="2380278"/>
            <wp:docPr id="6" name="Picture 6"/>
            <wp:cNvGraphicFramePr>
              <a:graphicFrameLocks noChangeAspect="1"/>
            </wp:cNvGraphicFramePr>
            <a:graphic>
              <a:graphicData uri="http://schemas.openxmlformats.org/drawingml/2006/picture">
                <pic:pic>
                  <pic:nvPicPr>
                    <pic:cNvPr id="0" name="setup_student_financial_responsibility_2.png"/>
                    <pic:cNvPicPr/>
                  </pic:nvPicPr>
                  <pic:blipFill>
                    <a:blip r:embed="rId14"/>
                    <a:stretch>
                      <a:fillRect/>
                    </a:stretch>
                  </pic:blipFill>
                  <pic:spPr>
                    <a:xfrm>
                      <a:off x="0" y="0"/>
                      <a:ext cx="5486400" cy="2380278"/>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hybridMultilevel"/>
    <w:lvl w:ilvl="0">
      <w:start w:val="1"/>
      <w:numFmt w:val="decimal"/>
      <w:lvlText w:val="%1."/>
      <w:lvlJc w:val="left"/>
      <w:pPr>
        <w:ind w:left="720" w:hanging="360"/>
      </w:pPr>
    </w:lvl>
  </w:abstractNum>
  <w:abstractNum w:abstractNumId="10">
    <w:multiLevelType w:val="hybridMultilevel"/>
    <w:lvl w:ilvl="0">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50" w:line="300" w:lineRule="exact"/>
    </w:pPr>
    <w:rPr>
      <w:rFonts w:ascii="IBM Plex Sans" w:hAnsi="IBM Plex Sans" w:cs="IBM Plex Sans" w:eastAsia="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50" w:after="40" w:line="240" w:lineRule="auto"/>
      <w:outlineLvl w:val="0"/>
    </w:pPr>
    <w:rPr>
      <w:rFonts w:asciiTheme="majorHAnsi" w:eastAsiaTheme="majorEastAsia" w:hAnsiTheme="majorHAnsi" w:cstheme="majorBidi" w:ascii="IBM Plex Sans Medium" w:hAnsi="IBM Plex Sans Medium" w:cs="IBM Plex Sans Medium" w:eastAsia="IBM Plex Sans Medium"/>
      <w:b w:val="0"/>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50" w:after="40" w:line="240" w:lineRule="auto"/>
      <w:outlineLvl w:val="1"/>
    </w:pPr>
    <w:rPr>
      <w:rFonts w:asciiTheme="majorHAnsi" w:eastAsiaTheme="majorEastAsia" w:hAnsiTheme="majorHAnsi" w:cstheme="majorBidi" w:ascii="IBM Plex Sans Medium" w:hAnsi="IBM Plex Sans Medium" w:cs="IBM Plex Sans Medium" w:eastAsia="IBM Plex Sans Medium"/>
      <w:b w:val="0"/>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50" w:after="40" w:line="240" w:lineRule="auto"/>
      <w:outlineLvl w:val="2"/>
    </w:pPr>
    <w:rPr>
      <w:rFonts w:asciiTheme="majorHAnsi" w:eastAsiaTheme="majorEastAsia" w:hAnsiTheme="majorHAnsi" w:cstheme="majorBidi" w:ascii="IBM Plex Sans Medium" w:hAnsi="IBM Plex Sans Medium" w:cs="IBM Plex Sans Medium" w:eastAsia="IBM Plex Sans Medium"/>
      <w:b w:val="0"/>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40" w:after="0" w:line="240" w:lineRule="auto"/>
      <w:outlineLvl w:val="3"/>
    </w:pPr>
    <w:rPr>
      <w:rFonts w:asciiTheme="majorHAnsi" w:eastAsiaTheme="majorEastAsia" w:hAnsiTheme="majorHAnsi" w:cstheme="majorBidi" w:ascii="IBM Plex Sans" w:hAnsi="IBM Plex Sans" w:cs="IBM Plex Sans" w:eastAsia="IBM Plex Sans"/>
      <w:b w:val="0"/>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before="0"/>
      <w:contextualSpacing/>
    </w:pPr>
    <w:rPr>
      <w:rFonts w:asciiTheme="majorHAnsi" w:eastAsiaTheme="majorEastAsia" w:hAnsiTheme="majorHAnsi" w:cstheme="majorBidi" w:ascii="IBM Plex Sans SmBld" w:hAnsi="IBM Plex Sans SmBld" w:cs="IBM Plex Sans SmBld" w:eastAsia="IBM Plex Sans SmBld"/>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120" w:line="240" w:lineRule="exact"/>
      <w:ind w:left="720"/>
      <w:contextualSpacing/>
    </w:pPr>
    <w:rPr>
      <w:rFonts w:ascii="IBM Plex Sans" w:hAnsi="IBM Plex Sans" w:cs="IBM Plex Sans" w:eastAsia="IBM Plex Sans"/>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60" w:after="60" w:line="240" w:lineRule="auto"/>
      <w:ind w:left="794" w:right="794"/>
    </w:pPr>
    <w:rPr>
      <w:rFonts w:ascii="IBM Plex Sans Light" w:hAnsi="IBM Plex Sans Light" w:cs="IBM Plex Sans Light" w:eastAsia="IBM Plex Sans Light"/>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