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40"/>
        <w:tblGridChange w:id="0">
          <w:tblGrid>
            <w:gridCol w:w="5460"/>
            <w:gridCol w:w="4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10/10/2025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655"/>
        <w:tblGridChange w:id="0">
          <w:tblGrid>
            <w:gridCol w:w="495"/>
            <w:gridCol w:w="3060"/>
            <w:gridCol w:w="3480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5"/>
        <w:gridCol w:w="8835"/>
        <w:tblGridChange w:id="0">
          <w:tblGrid>
            <w:gridCol w:w="435"/>
            <w:gridCol w:w="8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indico las áreas en las cuales no tenemos que enfocar más para continuar con el proyecto, 1 semana como plazo para presentar avances. 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/xwh87dxP6vRviBjlSEbgLfuQ==">CgMxLjA4AHIhMVZQaEozS3FGcWM4UlA1RnNINmpwU1BGTVJOQkJWRHUx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