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marketing-brief-spring-campaign-2024"/>
    <w:p>
      <w:pPr>
        <w:pStyle w:val="Heading1"/>
      </w:pPr>
      <w:r>
        <w:t xml:space="preserve">Marketing Brief — Spring Campaign 2024</w:t>
      </w:r>
    </w:p>
    <w:p>
      <w:pPr>
        <w:pStyle w:val="FirstParagraph"/>
      </w:pPr>
      <w:r>
        <w:t xml:space="preserve">Target: B2B logistics decision makers in Benelux.</w:t>
      </w:r>
    </w:p>
    <w:p>
      <w:pPr>
        <w:pStyle w:val="BodyText"/>
      </w:pPr>
      <w:r>
        <w:t xml:space="preserve">Channels: LinkedIn, trade shows, email nurture.</w:t>
      </w:r>
    </w:p>
    <w:p>
      <w:pPr>
        <w:pStyle w:val="BodyText"/>
      </w:pPr>
      <w:r>
        <w:t xml:space="preserve">Budget: EUR 120,000.</w:t>
      </w:r>
    </w:p>
    <w:p>
      <w:pPr>
        <w:pStyle w:val="BodyText"/>
      </w:pPr>
      <w:r>
        <w:t xml:space="preserve">KPIs: MQLs, brand awareness.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2026-06-12T09:19:26Z</dcterms:created>
  <dcterms:modified xsi:type="dcterms:W3CDTF">2026-06-12T09:19:26Z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