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Team OS – Detailed Architecture</w:t>
      </w:r>
    </w:p>
    <w:p>
      <w:pPr>
        <w:jc w:val="center"/>
      </w:pPr>
      <w:r>
        <w:t>Agentic, White‑Label API Platform</w:t>
        <w:br/>
      </w:r>
    </w:p>
    <w:p>
      <w:r>
        <w:t>Date: 2025‑06‑10</w:t>
      </w:r>
    </w:p>
    <w:p>
      <w:pPr>
        <w:pStyle w:val="Heading1"/>
      </w:pPr>
      <w:r>
        <w:t>1 · Core Runtime Layers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Layer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  <w:tc>
          <w:tcPr>
            <w:tcW w:type="dxa" w:w="2880"/>
          </w:tcPr>
          <w:p>
            <w:r>
              <w:t>Primary Tech</w:t>
            </w:r>
          </w:p>
        </w:tc>
      </w:tr>
      <w:tr>
        <w:tc>
          <w:tcPr>
            <w:tcW w:type="dxa" w:w="2880"/>
          </w:tcPr>
          <w:p>
            <w:r>
              <w:t>Interaction</w:t>
            </w:r>
          </w:p>
        </w:tc>
        <w:tc>
          <w:tcPr>
            <w:tcW w:type="dxa" w:w="2880"/>
          </w:tcPr>
          <w:p>
            <w:r>
              <w:t>Partner-built UI (web / Slack / Teams) or backend service calls Team OS over HTTPS.</w:t>
            </w:r>
          </w:p>
        </w:tc>
        <w:tc>
          <w:tcPr>
            <w:tcW w:type="dxa" w:w="2880"/>
          </w:tcPr>
          <w:p>
            <w:r>
              <w:t>Next.js / React components or REST SDKs</w:t>
            </w:r>
          </w:p>
        </w:tc>
      </w:tr>
      <w:tr>
        <w:tc>
          <w:tcPr>
            <w:tcW w:type="dxa" w:w="2880"/>
          </w:tcPr>
          <w:p>
            <w:r>
              <w:t>Agent</w:t>
            </w:r>
          </w:p>
        </w:tc>
        <w:tc>
          <w:tcPr>
            <w:tcW w:type="dxa" w:w="2880"/>
          </w:tcPr>
          <w:p>
            <w:r>
              <w:t>LangChain / LangGraph agent orchestrates prompts, retrieval and tool calls; LLM provider is swappable per tenant.</w:t>
            </w:r>
          </w:p>
        </w:tc>
        <w:tc>
          <w:tcPr>
            <w:tcW w:type="dxa" w:w="2880"/>
          </w:tcPr>
          <w:p>
            <w:r>
              <w:t>LangChain, LangServe, LangGraph</w:t>
            </w:r>
          </w:p>
        </w:tc>
      </w:tr>
      <w:tr>
        <w:tc>
          <w:tcPr>
            <w:tcW w:type="dxa" w:w="2880"/>
          </w:tcPr>
          <w:p>
            <w:r>
              <w:t>Tool Façade</w:t>
            </w:r>
          </w:p>
        </w:tc>
        <w:tc>
          <w:tcPr>
            <w:tcW w:type="dxa" w:w="2880"/>
          </w:tcPr>
          <w:p>
            <w:r>
              <w:t>MCP (Model Context Protocol) servers expose TMS Global and any partner systems as discoverable tools (`list_tools()`, `call_tool()`).</w:t>
            </w:r>
          </w:p>
        </w:tc>
        <w:tc>
          <w:tcPr>
            <w:tcW w:type="dxa" w:w="2880"/>
          </w:tcPr>
          <w:p>
            <w:r>
              <w:t>FastAPI / Azure Functions</w:t>
            </w:r>
          </w:p>
        </w:tc>
      </w:tr>
      <w:tr>
        <w:tc>
          <w:tcPr>
            <w:tcW w:type="dxa" w:w="2880"/>
          </w:tcPr>
          <w:p>
            <w:r>
              <w:t>Source Systems</w:t>
            </w:r>
          </w:p>
        </w:tc>
        <w:tc>
          <w:tcPr>
            <w:tcW w:type="dxa" w:w="2880"/>
          </w:tcPr>
          <w:p>
            <w:r>
              <w:t>Systems of record accessed ONLY via their MCP server.</w:t>
            </w:r>
          </w:p>
        </w:tc>
        <w:tc>
          <w:tcPr>
            <w:tcW w:type="dxa" w:w="2880"/>
          </w:tcPr>
          <w:p>
            <w:r>
              <w:t>TMS Global API, Slack API, HRIS, Stripe, …</w:t>
            </w:r>
          </w:p>
        </w:tc>
      </w:tr>
    </w:tbl>
    <w:p>
      <w:pPr>
        <w:pStyle w:val="Heading1"/>
      </w:pPr>
      <w:r>
        <w:t>2 · Retrieval‑Augmented Generation (RAG)</w:t>
      </w:r>
    </w:p>
    <w:p>
      <w:r>
        <w:t>• Vector Store – Azure Database for PostgreSQL Flexible Server with pgvector (single DB, tenant‑namespaced)</w:t>
        <w:br/>
        <w:t xml:space="preserve">  – tms_corpus – static chunks of TMP, QO2, WoWV, LLP‑360 manuals</w:t>
        <w:br/>
        <w:t xml:space="preserve">  – team-&lt;tenant_id&gt; – dynamic chunks (each team’s TMP wheel, QO2 scores, manager notes)</w:t>
        <w:br/>
        <w:t>• Blob Storage – Azure Blob (Hot/LRS) holds raw PDFs &amp; exports.</w:t>
        <w:br/>
        <w:t>• Embedding Worker – Timer-triggered Azure Function:</w:t>
        <w:br/>
        <w:t xml:space="preserve">  1. Detect new blobs or `TMS /profile-pdf/{id}`</w:t>
        <w:br/>
        <w:t xml:space="preserve">  2. Chunk ≤ 1 k tokens, embed (text‑embedding‑3‑small)</w:t>
        <w:br/>
        <w:t xml:space="preserve">  3. Insert `{id, tenant_id, chunk, embedding, metadata.visibility}`</w:t>
        <w:br/>
        <w:t>• Retriever – LangChain SupabaseVectorStore (or AzureAISearchRetriever) filters on both tenant_id and visibility (blurb vs full).</w:t>
      </w:r>
    </w:p>
    <w:p>
      <w:pPr>
        <w:pStyle w:val="Heading1"/>
      </w:pPr>
      <w:r>
        <w:t>3 · Multi‑Tenant &amp; White‑Label Control Plane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Concern</w:t>
            </w:r>
          </w:p>
        </w:tc>
        <w:tc>
          <w:tcPr>
            <w:tcW w:type="dxa" w:w="4320"/>
          </w:tcPr>
          <w:p>
            <w:r>
              <w:t>Implementation</w:t>
            </w:r>
          </w:p>
        </w:tc>
      </w:tr>
      <w:tr>
        <w:tc>
          <w:tcPr>
            <w:tcW w:type="dxa" w:w="4320"/>
          </w:tcPr>
          <w:p>
            <w:r>
              <w:t>API Gateway &amp; Dev Portal</w:t>
            </w:r>
          </w:p>
        </w:tc>
        <w:tc>
          <w:tcPr>
            <w:tcW w:type="dxa" w:w="4320"/>
          </w:tcPr>
          <w:p>
            <w:r>
              <w:t>Azure API Management – issues keys, enforces quotas, hosts Swagger docs.</w:t>
            </w:r>
          </w:p>
        </w:tc>
      </w:tr>
      <w:tr>
        <w:tc>
          <w:tcPr>
            <w:tcW w:type="dxa" w:w="4320"/>
          </w:tcPr>
          <w:p>
            <w:r>
              <w:t>Control‑Plane DB</w:t>
            </w:r>
          </w:p>
        </w:tc>
        <w:tc>
          <w:tcPr>
            <w:tcW w:type="dxa" w:w="4320"/>
          </w:tcPr>
          <w:p>
            <w:r>
              <w:t>Stores tenant config: brand name, seat cap, allowed diagnostics, preferred LLM, registered MCP endpoints.</w:t>
            </w:r>
          </w:p>
        </w:tc>
      </w:tr>
      <w:tr>
        <w:tc>
          <w:tcPr>
            <w:tcW w:type="dxa" w:w="4320"/>
          </w:tcPr>
          <w:p>
            <w:r>
              <w:t>Dynamic Agent Loader</w:t>
            </w:r>
          </w:p>
        </w:tc>
        <w:tc>
          <w:tcPr>
            <w:tcW w:type="dxa" w:w="4320"/>
          </w:tcPr>
          <w:p>
            <w:r>
              <w:t>Injects tenant prompt &amp; brand voice, constrains allowed tool list, selects preferred LLM (Azure OpenAI, Claude, Gemini).</w:t>
            </w:r>
          </w:p>
        </w:tc>
      </w:tr>
      <w:tr>
        <w:tc>
          <w:tcPr>
            <w:tcW w:type="dxa" w:w="4320"/>
          </w:tcPr>
          <w:p>
            <w:r>
              <w:t>Plugin / Tool Registry</w:t>
            </w:r>
          </w:p>
        </w:tc>
        <w:tc>
          <w:tcPr>
            <w:tcW w:type="dxa" w:w="4320"/>
          </w:tcPr>
          <w:p>
            <w:r>
              <w:t>Tenants POST their own MCP server URLs; agent discovers tools at runtime via list_tools().</w:t>
            </w:r>
          </w:p>
        </w:tc>
      </w:tr>
      <w:tr>
        <w:tc>
          <w:tcPr>
            <w:tcW w:type="dxa" w:w="4320"/>
          </w:tcPr>
          <w:p>
            <w:r>
              <w:t>Usage Metering</w:t>
            </w:r>
          </w:p>
        </w:tc>
        <w:tc>
          <w:tcPr>
            <w:tcW w:type="dxa" w:w="4320"/>
          </w:tcPr>
          <w:p>
            <w:r>
              <w:t>LangSmith traces + Azure Monitor logs funnel into per-tenant billing reports or sublicence statements.</w:t>
            </w:r>
          </w:p>
        </w:tc>
      </w:tr>
    </w:tbl>
    <w:p>
      <w:pPr>
        <w:pStyle w:val="Heading1"/>
      </w:pPr>
      <w:r>
        <w:t>4 · Paywall &amp; Data‑Leak Guardrails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Guard</w:t>
            </w:r>
          </w:p>
        </w:tc>
        <w:tc>
          <w:tcPr>
            <w:tcW w:type="dxa" w:w="4320"/>
          </w:tcPr>
          <w:p>
            <w:r>
              <w:t>Mechanism</w:t>
            </w:r>
          </w:p>
        </w:tc>
      </w:tr>
      <w:tr>
        <w:tc>
          <w:tcPr>
            <w:tcW w:type="dxa" w:w="4320"/>
          </w:tcPr>
          <w:p>
            <w:r>
              <w:t>Data Gate</w:t>
            </w:r>
          </w:p>
        </w:tc>
        <w:tc>
          <w:tcPr>
            <w:tcW w:type="dxa" w:w="4320"/>
          </w:tcPr>
          <w:p>
            <w:r>
              <w:t>Full reports live only in report_full namespace. Retriever adds subscription.tier == "paid" filter; free users see only report_blurb.</w:t>
            </w:r>
          </w:p>
        </w:tc>
      </w:tr>
      <w:tr>
        <w:tc>
          <w:tcPr>
            <w:tcW w:type="dxa" w:w="4320"/>
          </w:tcPr>
          <w:p>
            <w:r>
              <w:t>Reasoning Gate</w:t>
            </w:r>
          </w:p>
        </w:tc>
        <w:tc>
          <w:tcPr>
            <w:tcW w:type="dxa" w:w="4320"/>
          </w:tcPr>
          <w:p>
            <w:r>
              <w:t>PaywallGate callback inspects the LLM draft—if &gt; N tokens originate from report_full and user is not entitled, replace with upsell message.</w:t>
            </w:r>
          </w:p>
        </w:tc>
      </w:tr>
      <w:tr>
        <w:tc>
          <w:tcPr>
            <w:tcW w:type="dxa" w:w="4320"/>
          </w:tcPr>
          <w:p>
            <w:r>
              <w:t>MCP Tool Gating</w:t>
            </w:r>
          </w:p>
        </w:tc>
        <w:tc>
          <w:tcPr>
            <w:tcW w:type="dxa" w:w="4320"/>
          </w:tcPr>
          <w:p>
            <w:r>
              <w:t>Tools like download_qo2_pdf are disabled unless entitlement check passes; MCP returns HTTP 403 otherwise.</w:t>
            </w:r>
          </w:p>
        </w:tc>
      </w:tr>
      <w:tr>
        <w:tc>
          <w:tcPr>
            <w:tcW w:type="dxa" w:w="4320"/>
          </w:tcPr>
          <w:p>
            <w:r>
              <w:t>Defence-in-Depth</w:t>
            </w:r>
          </w:p>
        </w:tc>
        <w:tc>
          <w:tcPr>
            <w:tcW w:type="dxa" w:w="4320"/>
          </w:tcPr>
          <w:p>
            <w:r>
              <w:t>Even if the model hallucinates gated content, the callback strips it; direct API calls are still blocked by MCP.</w:t>
            </w:r>
          </w:p>
        </w:tc>
      </w:tr>
    </w:tbl>
    <w:p>
      <w:pPr>
        <w:pStyle w:val="Heading1"/>
      </w:pPr>
      <w:r>
        <w:t>5 · End‑to‑End Flow – “Assess Risk” (QO₂)</w:t>
      </w:r>
    </w:p>
    <w:p>
      <w:r>
        <w:t>1. User → “We need to assess the team’s approach to risk.”</w:t>
        <w:br/>
        <w:t>2. Agent → tmsMCP.create_qo2_workflow(teamId)</w:t>
        <w:br/>
        <w:t>3. TMS Global emits progress webhooks (40 % → 70 % → 100 %) → tmsMCP converts to MCP stream events (SSE) → LangGraph updates state.</w:t>
        <w:br/>
        <w:t>4. Analysis Node computes risk spread; if outliers &gt; ±5, drafts nudges.</w:t>
        <w:br/>
        <w:t>5. Agent → slackMCP.send_nudge(member_id, message) weekly until spread stabilises.</w:t>
      </w:r>
    </w:p>
    <w:p>
      <w:pPr>
        <w:pStyle w:val="Heading1"/>
      </w:pPr>
      <w:r>
        <w:t>6 · Azure‑Native Service Mapping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Concern</w:t>
            </w:r>
          </w:p>
        </w:tc>
        <w:tc>
          <w:tcPr>
            <w:tcW w:type="dxa" w:w="4320"/>
          </w:tcPr>
          <w:p>
            <w:r>
              <w:t>Azure Service</w:t>
            </w:r>
          </w:p>
        </w:tc>
      </w:tr>
      <w:tr>
        <w:tc>
          <w:tcPr>
            <w:tcW w:type="dxa" w:w="4320"/>
          </w:tcPr>
          <w:p>
            <w:r>
              <w:t>Frontend</w:t>
            </w:r>
          </w:p>
        </w:tc>
        <w:tc>
          <w:tcPr>
            <w:tcW w:type="dxa" w:w="4320"/>
          </w:tcPr>
          <w:p>
            <w:r>
              <w:t>Azure Static Web Apps</w:t>
            </w:r>
          </w:p>
        </w:tc>
      </w:tr>
      <w:tr>
        <w:tc>
          <w:tcPr>
            <w:tcW w:type="dxa" w:w="4320"/>
          </w:tcPr>
          <w:p>
            <w:r>
              <w:t>Agent Runtime</w:t>
            </w:r>
          </w:p>
        </w:tc>
        <w:tc>
          <w:tcPr>
            <w:tcW w:type="dxa" w:w="4320"/>
          </w:tcPr>
          <w:p>
            <w:r>
              <w:t>Azure Functions (Python) or Azure Container Apps</w:t>
            </w:r>
          </w:p>
        </w:tc>
      </w:tr>
      <w:tr>
        <w:tc>
          <w:tcPr>
            <w:tcW w:type="dxa" w:w="4320"/>
          </w:tcPr>
          <w:p>
            <w:r>
              <w:t>Vector Store</w:t>
            </w:r>
          </w:p>
        </w:tc>
        <w:tc>
          <w:tcPr>
            <w:tcW w:type="dxa" w:w="4320"/>
          </w:tcPr>
          <w:p>
            <w:r>
              <w:t>Azure Database for PostgreSQL + pgvector or Azure AI Search</w:t>
            </w:r>
          </w:p>
        </w:tc>
      </w:tr>
      <w:tr>
        <w:tc>
          <w:tcPr>
            <w:tcW w:type="dxa" w:w="4320"/>
          </w:tcPr>
          <w:p>
            <w:r>
              <w:t>Blob Storage</w:t>
            </w:r>
          </w:p>
        </w:tc>
        <w:tc>
          <w:tcPr>
            <w:tcW w:type="dxa" w:w="4320"/>
          </w:tcPr>
          <w:p>
            <w:r>
              <w:t>Azure Blob Storage (Hot/LRS)</w:t>
            </w:r>
          </w:p>
        </w:tc>
      </w:tr>
      <w:tr>
        <w:tc>
          <w:tcPr>
            <w:tcW w:type="dxa" w:w="4320"/>
          </w:tcPr>
          <w:p>
            <w:r>
              <w:t>Queue / Retry</w:t>
            </w:r>
          </w:p>
        </w:tc>
        <w:tc>
          <w:tcPr>
            <w:tcW w:type="dxa" w:w="4320"/>
          </w:tcPr>
          <w:p>
            <w:r>
              <w:t>Azure Service Bus</w:t>
            </w:r>
          </w:p>
        </w:tc>
      </w:tr>
      <w:tr>
        <w:tc>
          <w:tcPr>
            <w:tcW w:type="dxa" w:w="4320"/>
          </w:tcPr>
          <w:p>
            <w:r>
              <w:t>Secrets</w:t>
            </w:r>
          </w:p>
        </w:tc>
        <w:tc>
          <w:tcPr>
            <w:tcW w:type="dxa" w:w="4320"/>
          </w:tcPr>
          <w:p>
            <w:r>
              <w:t>Azure Key Vault with Managed Identity</w:t>
            </w:r>
          </w:p>
        </w:tc>
      </w:tr>
      <w:tr>
        <w:tc>
          <w:tcPr>
            <w:tcW w:type="dxa" w:w="4320"/>
          </w:tcPr>
          <w:p>
            <w:r>
              <w:t>Observability</w:t>
            </w:r>
          </w:p>
        </w:tc>
        <w:tc>
          <w:tcPr>
            <w:tcW w:type="dxa" w:w="4320"/>
          </w:tcPr>
          <w:p>
            <w:r>
              <w:t>Azure Monitor + Application Insights; LangSmith overlay</w:t>
            </w:r>
          </w:p>
        </w:tc>
      </w:tr>
      <w:tr>
        <w:tc>
          <w:tcPr>
            <w:tcW w:type="dxa" w:w="4320"/>
          </w:tcPr>
          <w:p>
            <w:r>
              <w:t>API Gateway</w:t>
            </w:r>
          </w:p>
        </w:tc>
        <w:tc>
          <w:tcPr>
            <w:tcW w:type="dxa" w:w="4320"/>
          </w:tcPr>
          <w:p>
            <w:r>
              <w:t>Azure API Management (multi‑tenant keys, quotas)</w:t>
            </w:r>
          </w:p>
        </w:tc>
      </w:tr>
    </w:tbl>
    <w:p>
      <w:pPr>
        <w:pStyle w:val="Heading1"/>
      </w:pPr>
      <w:r>
        <w:t>7 · Reference Sequence Diagram (textual)</w:t>
      </w:r>
    </w:p>
    <w:p>
      <w:r>
        <w:t>Partner UI ──HTTP──▶ API Gateway ──▶ LangGraph Agent</w:t>
        <w:br/>
        <w:t xml:space="preserve">     │                                 │</w:t>
        <w:br/>
        <w:t xml:space="preserve">     │                                 ├─ list_tools() ─▶ tmsMCP</w:t>
        <w:br/>
        <w:t xml:space="preserve">     │                                 └─ call_tool(create_qo2_workflow) ─▶ tmsMCP ─▶ TMS Global</w:t>
        <w:br/>
        <w:t xml:space="preserve">     │                                 ◀─ progress SSE  ◀─────────────────────────────┘</w:t>
        <w:br/>
        <w:t xml:space="preserve">     │◀───────────────── Streamed analysis &amp; nudges ──────────────────────────────────┘</w:t>
      </w:r>
    </w:p>
    <w:p>
      <w:pPr>
        <w:pStyle w:val="Heading2"/>
      </w:pPr>
      <w:r>
        <w:t>Summary</w:t>
      </w:r>
    </w:p>
    <w:p>
      <w:r>
        <w:t>Team OS exposes one headless, agentic API: partners hit /v1/agent/chat, the LangChain agent loads tenant‑scoped prompts, tool lists, and vector context, calls MCP‑wrapped functions, and streams grounded, policy‑safe answers—without ever leaking a full PDF unless the subscription tier allows it. The architecture is unchanged whether the backend runs on Vercel/Supabase or the full Azure stack above, and any LLM (OpenAI, Claude, Gemini) can be swapped simply by updating the tenant’s preferred_llm flag in the control plane.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