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Incentive Test Workbook</w:t>
      </w:r>
    </w:p>
    <w:p>
      <w:pPr>
        <w:spacing w:after="120"/>
      </w:pPr>
      <w:r>
        <w:t xml:space="preserve">Design the offer so it can be priced. Test it so it prices itself. Copilot does the work. You check the work.</w:t>
      </w:r>
    </w:p>
    <w:p>
      <w:pPr>
        <w:spacing w:after="120"/>
      </w:pPr>
      <w:r>
        <w:rPr>
          <w:i/>
          <w:iCs/>
          <w:sz w:val="19"/>
          <w:szCs w:val="19"/>
        </w:rPr>
        <w:t xml:space="preserve">v1 — in Simplified Technical English. One incentive mechanic (or one comparable set), one pass through this workbook. Output: a scored, costed offer, a pre-registered experiment, and calibrated parameters that transfer to every future incentive decision.</w:t>
      </w:r>
    </w:p>
    <w:p>
      <w:pPr>
        <w:spacing w:after="120"/>
      </w:pPr>
      <w:r>
        <w:rPr>
          <w:sz w:val="19"/>
          <w:szCs w:val="19"/>
        </w:rPr>
        <w:t xml:space="preserve">Companions: incentive-testing-standard.md (the full rules and rationale) and objective-customer-value-standard.md (the parent construct). This workbook is the execution layer.</w:t>
      </w:r>
    </w:p>
    <w:p>
      <w:pPr>
        <w:pStyle w:val="Heading1"/>
        <w:spacing w:after="160" w:before="320"/>
      </w:pPr>
      <w:r>
        <w:t xml:space="preserve">How to use this workbook</w:t>
      </w:r>
    </w:p>
    <w:p>
      <w:pPr>
        <w:spacing w:after="120"/>
      </w:pPr>
      <w:r>
        <w:rPr>
          <w:b/>
          <w:bCs/>
        </w:rPr>
        <w:t xml:space="preserve">Division of work. </w:t>
      </w:r>
      <w:r>
        <w:t xml:space="preserve">Copilot does the production work in each step: scoring, costing arithmetic, sample sizing, and checks. You supply the facts, approve each output, and stop bad steps early.</w:t>
      </w:r>
    </w:p>
    <w:p>
      <w:pPr>
        <w:pStyle w:val="ListParagraph"/>
        <w:numPr>
          <w:ilvl w:val="0"/>
          <w:numId w:val="2"/>
        </w:numPr>
        <w:spacing w:after="80"/>
      </w:pPr>
      <w:r>
        <w:t xml:space="preserve">Paste the session state header, then the step prompt, into Copilot.</w:t>
      </w:r>
    </w:p>
    <w:p>
      <w:pPr>
        <w:pStyle w:val="ListParagraph"/>
        <w:numPr>
          <w:ilvl w:val="0"/>
          <w:numId w:val="2"/>
        </w:numPr>
        <w:spacing w:after="80"/>
      </w:pPr>
      <w:r>
        <w:t xml:space="preserve">Check the output against the review checklist. Each check is a specific rule of the standard.</w:t>
      </w:r>
    </w:p>
    <w:p>
      <w:pPr>
        <w:pStyle w:val="ListParagraph"/>
        <w:numPr>
          <w:ilvl w:val="0"/>
          <w:numId w:val="2"/>
        </w:numPr>
        <w:spacing w:after="80"/>
      </w:pPr>
      <w:r>
        <w:t xml:space="preserve">Write the approved output in the output table. The output is the input for the next step. Do not continue with an output you have not approved.</w:t>
      </w:r>
    </w:p>
    <w:p>
      <w:pPr>
        <w:spacing w:after="120"/>
      </w:pPr>
      <w:r>
        <w:rPr>
          <w:b/>
          <w:bCs/>
        </w:rPr>
        <w:t xml:space="preserve">The gates are the method. </w:t>
      </w:r>
      <w:r>
        <w:t xml:space="preserve">An engagement proxy chosen in Step 1 poisons every later number. A decision rule registered after results are visible (Step 6) is not a decision rule. If a step fails its checklist, fix it before you continue.</w:t>
      </w:r>
    </w:p>
    <w:p>
      <w:pPr>
        <w:spacing w:after="120"/>
      </w:pPr>
      <w:r>
        <w:rPr>
          <w:b/>
          <w:bCs/>
        </w:rPr>
        <w:t xml:space="preserve">To use this document with Copilot directly: </w:t>
      </w:r>
      <w:r>
        <w:t xml:space="preserve">attach this file to the Copilot chat. Then write: "Follow the Incentive Test Workbook. Start at Step 1. Interview me for the inputs you need."</w:t>
      </w:r>
    </w:p>
    <w:p>
      <w:pPr>
        <w:pStyle w:val="Heading1"/>
        <w:spacing w:after="160" w:before="320"/>
      </w:pPr>
      <w:r>
        <w:t xml:space="preserve">Session state header — paste at the top of every prompt</w:t>
      </w:r>
    </w:p>
    <w:p>
      <w:pPr>
        <w:spacing w:after="120"/>
      </w:pPr>
      <w:r>
        <w:t xml:space="preserve">Copilot has no memory of your process. Without this header, it repeats completed work, proposes steps out of order, and invents missing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1F3F5" w:val="clear"/>
            <w:tcMar>
              <w:top w:type="dxa" w:w="140"/>
              <w:left w:type="dxa" w:w="180"/>
              <w:bottom w:type="dxa" w:w="140"/>
              <w:right w:type="dxa" w:w="180"/>
            </w:tcMar>
          </w:tcPr>
          <w:p>
            <w:pPr>
              <w:spacing w:after="100"/>
            </w:pPr>
            <w:r>
              <w:rPr>
                <w:b/>
                <w:bCs/>
                <w:sz w:val="20"/>
                <w:szCs w:val="20"/>
              </w:rPr>
              <w:t xml:space="preserve">PROMPT FOR COPILOT — copy</w:t>
            </w:r>
          </w:p>
          <w:p>
            <w:pPr>
              <w:spacing w:after="40"/>
            </w:pPr>
            <w:r>
              <w:rPr>
                <w:rFonts w:ascii="Consolas" w:cs="Consolas" w:eastAsia="Consolas" w:hAnsi="Consolas"/>
                <w:sz w:val="20"/>
                <w:szCs w:val="20"/>
              </w:rPr>
              <w:t xml:space="preserve">SESSION STATE — Incentive Test Workbook (TMTH Incentive Testing standard v1.0; parent: OCV standard v1.3)</w:t>
            </w:r>
          </w:p>
          <w:p>
            <w:pPr>
              <w:spacing w:after="40"/>
            </w:pPr>
            <w:r>
              <w:rPr>
                <w:rFonts w:ascii="Consolas" w:cs="Consolas" w:eastAsia="Consolas" w:hAnsi="Consolas"/>
                <w:sz w:val="20"/>
                <w:szCs w:val="20"/>
              </w:rPr>
              <w:t xml:space="preserve">Completed steps: [list step numbers and one-line outputs]. Current step: [N].</w:t>
            </w:r>
          </w:p>
          <w:p>
            <w:pPr>
              <w:spacing w:after="40"/>
            </w:pPr>
            <w:r>
              <w:rPr>
                <w:rFonts w:ascii="Consolas" w:cs="Consolas" w:eastAsia="Consolas" w:hAnsi="Consolas"/>
                <w:sz w:val="20"/>
                <w:szCs w:val="20"/>
              </w:rPr>
              <w:t xml:space="preserve">Rules:</w:t>
            </w:r>
          </w:p>
          <w:p>
            <w:pPr>
              <w:spacing w:after="40"/>
            </w:pPr>
            <w:r>
              <w:rPr>
                <w:rFonts w:ascii="Consolas" w:cs="Consolas" w:eastAsia="Consolas" w:hAnsi="Consolas"/>
                <w:sz w:val="20"/>
                <w:szCs w:val="20"/>
              </w:rPr>
              <w:t xml:space="preserve">1. Do only the current step. Do not start the next step.</w:t>
            </w:r>
          </w:p>
          <w:p>
            <w:pPr>
              <w:spacing w:after="40"/>
            </w:pPr>
            <w:r>
              <w:rPr>
                <w:rFonts w:ascii="Consolas" w:cs="Consolas" w:eastAsia="Consolas" w:hAnsi="Consolas"/>
                <w:sz w:val="20"/>
                <w:szCs w:val="20"/>
              </w:rPr>
              <w:t xml:space="preserve">2. The target is a BEHAVIOUR the sponsor earns from — never an engagement proxy (clicks, enrolments, views).</w:t>
            </w:r>
          </w:p>
          <w:p>
            <w:pPr>
              <w:spacing w:after="40"/>
            </w:pPr>
            <w:r>
              <w:rPr>
                <w:rFonts w:ascii="Consolas" w:cs="Consolas" w:eastAsia="Consolas" w:hAnsi="Consolas"/>
                <w:sz w:val="20"/>
                <w:szCs w:val="20"/>
              </w:rPr>
              <w:t xml:space="preserve">3. Band every figure pessimistic / central / optimistic; pessimistic = worse for the case. Mark every non-measured figure ILLUSTRATIVE.</w:t>
            </w:r>
          </w:p>
          <w:p>
            <w:pPr>
              <w:spacing w:after="40"/>
            </w:pPr>
            <w:r>
              <w:rPr>
                <w:rFonts w:ascii="Consolas" w:cs="Consolas" w:eastAsia="Consolas" w:hAnsi="Consolas"/>
                <w:sz w:val="20"/>
                <w:szCs w:val="20"/>
              </w:rPr>
              <w:t xml:space="preserve">4. If an input is missing, ask me for it. Do not invent data.</w:t>
            </w:r>
          </w:p>
          <w:p>
            <w:pPr>
              <w:spacing w:after="40"/>
            </w:pPr>
            <w:r>
              <w:rPr>
                <w:rFonts w:ascii="Consolas" w:cs="Consolas" w:eastAsia="Consolas" w:hAnsi="Consolas"/>
                <w:sz w:val="20"/>
                <w:szCs w:val="20"/>
              </w:rPr>
              <w:t xml:space="preserve">5. End your reply with SELF-CHECK: list the lint rules (I1-I12) this step can break, and give pass or fail for each.</w:t>
            </w:r>
          </w:p>
        </w:tc>
      </w:tr>
    </w:tbl>
    <w:p>
      <w:pPr>
        <w:spacing w:after="80"/>
      </w:pPr>
    </w:p>
    <w:p>
      <w:pPr>
        <w:spacing w:after="120"/>
      </w:pPr>
      <w:r>
        <w:t xml:space="preserve">Rule 2 is the important one. Incentive analyses fail most often at the metric: take-up, clicks and enrolments are not behaviours the sponsor earns from, and any of them as the target corrupts the whole chain.</w:t>
      </w:r>
    </w:p>
    <w:p>
      <w:pPr>
        <w:pStyle w:val="Heading1"/>
        <w:spacing w:after="160" w:before="320"/>
      </w:pPr>
      <w:r>
        <w:t xml:space="preserve">Verification protocol — three checks catch the errors</w:t>
      </w:r>
    </w:p>
    <w:p>
      <w:pPr>
        <w:spacing w:after="120"/>
      </w:pPr>
      <w:r>
        <w:rPr>
          <w:b/>
          <w:bCs/>
        </w:rPr>
        <w:t xml:space="preserve">1. Self-check — same chat. </w:t>
      </w:r>
      <w:r>
        <w:t xml:space="preserve">The SELF-CHECK line makes Copilot lint its own output against I1-I12 at the end of every step.</w:t>
      </w:r>
    </w:p>
    <w:p>
      <w:pPr>
        <w:spacing w:after="120"/>
      </w:pPr>
      <w:r>
        <w:rPr>
          <w:b/>
          <w:bCs/>
        </w:rPr>
        <w:t xml:space="preserve">2. Independent check — new chat. </w:t>
      </w:r>
      <w:r>
        <w:t xml:space="preserve">For the final test plan, open a new chat, attach the standard and the filled workbook, and write: "Run lint rules I1-I12 on this incentive test plan. Report each failure by rule number."</w:t>
      </w:r>
    </w:p>
    <w:p>
      <w:pPr>
        <w:spacing w:after="120"/>
      </w:pPr>
      <w:r>
        <w:rPr>
          <w:b/>
          <w:bCs/>
        </w:rPr>
        <w:t xml:space="preserve">3. Human checks — only you can do these. </w:t>
      </w:r>
      <w:r>
        <w:t xml:space="preserve">You must check: that the target behaviour is one the sponsor genuinely earns from, that the decision rule was registered before launch and not moved after, and that the benchmark in Step 6 is honestly the cheapest alternative — not a straw man.</w:t>
      </w:r>
    </w:p>
    <w:p>
      <w:pPr>
        <w:pStyle w:val="Heading1"/>
        <w:spacing w:after="160" w:before="320"/>
      </w:pPr>
      <w:r>
        <w:t xml:space="preserve">FLOW: SCORE, COST, REGISTER, TEST, CALIBRATE</w:t>
      </w:r>
    </w:p>
    <w:p>
      <w:pPr>
        <w:pStyle w:val="Heading2"/>
        <w:spacing w:after="140" w:before="280"/>
      </w:pPr>
      <w:r>
        <w:t xml:space="preserve">Step 1 — Frame the behaviour and the decision</w:t>
      </w:r>
    </w:p>
    <w:p>
      <w:pPr>
        <w:spacing w:after="120"/>
      </w:pPr>
      <w:r>
        <w:t xml:space="preserve">Name the behaviour the sponsor earns from, the offer that buys it, and the decision the test result will change.</w:t>
      </w:r>
    </w:p>
    <w:p>
      <w:pPr>
        <w:spacing w:after="120"/>
      </w:pPr>
      <w:r>
        <w:rPr>
          <w:i/>
          <w:iCs/>
          <w:sz w:val="19"/>
          <w:szCs w:val="19"/>
        </w:rPr>
        <w:t xml:space="preserve">Input: the incentive idea   Output: behaviour statement + decision statement</w:t>
      </w:r>
    </w:p>
    <w:p>
      <w:pPr>
        <w:pStyle w:val="Heading3"/>
        <w:spacing w:after="100" w:before="200"/>
      </w:pPr>
      <w:r>
        <w:t xml:space="preserve">Copilot procedure — do the steps in sequence</w:t>
      </w:r>
    </w:p>
    <w:p>
      <w:pPr>
        <w:pStyle w:val="ListParagraph"/>
        <w:numPr>
          <w:ilvl w:val="0"/>
          <w:numId w:val="3"/>
        </w:numPr>
        <w:spacing w:after="80"/>
      </w:pPr>
      <w:r>
        <w:t xml:space="preserve">State the target behaviour as an observable action with an economic consequence for the sponsor. Reject engagement proxies (I8).</w:t>
      </w:r>
    </w:p>
    <w:p>
      <w:pPr>
        <w:pStyle w:val="ListParagraph"/>
        <w:numPr>
          <w:ilvl w:val="0"/>
          <w:numId w:val="3"/>
        </w:numPr>
        <w:spacing w:after="80"/>
      </w:pPr>
      <w:r>
        <w:t xml:space="preserve">State the offer: what the customer must do, what they get, and when.</w:t>
      </w:r>
    </w:p>
    <w:p>
      <w:pPr>
        <w:pStyle w:val="ListParagraph"/>
        <w:numPr>
          <w:ilvl w:val="0"/>
          <w:numId w:val="3"/>
        </w:numPr>
        <w:spacing w:after="80"/>
      </w:pPr>
      <w:r>
        <w:t xml:space="preserve">Name the decision the test result changes — scale, kill, or redesign — and who makes it.</w:t>
      </w:r>
    </w:p>
    <w:p>
      <w:pPr>
        <w:pStyle w:val="ListParagraph"/>
        <w:numPr>
          <w:ilvl w:val="0"/>
          <w:numId w:val="3"/>
        </w:numPr>
        <w:spacing w:after="80"/>
      </w:pPr>
      <w:r>
        <w:t xml:space="preserve">Play back all three and stop for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1F3F5" w:val="clear"/>
            <w:tcMar>
              <w:top w:type="dxa" w:w="140"/>
              <w:left w:type="dxa" w:w="180"/>
              <w:bottom w:type="dxa" w:w="140"/>
              <w:right w:type="dxa" w:w="180"/>
            </w:tcMar>
          </w:tcPr>
          <w:p>
            <w:pPr>
              <w:spacing w:after="100"/>
            </w:pPr>
            <w:r>
              <w:rPr>
                <w:b/>
                <w:bCs/>
                <w:sz w:val="20"/>
                <w:szCs w:val="20"/>
              </w:rPr>
              <w:t xml:space="preserve">PROMPT FOR COPILOT — copy</w:t>
            </w:r>
          </w:p>
          <w:p>
            <w:pPr>
              <w:spacing w:after="40"/>
            </w:pPr>
            <w:r>
              <w:rPr>
                <w:rFonts w:ascii="Consolas" w:cs="Consolas" w:eastAsia="Consolas" w:hAnsi="Consolas"/>
                <w:sz w:val="20"/>
                <w:szCs w:val="20"/>
              </w:rPr>
              <w:t xml:space="preserve">[paste session state header]</w:t>
            </w:r>
          </w:p>
          <w:p>
            <w:pPr>
              <w:spacing w:after="40"/>
            </w:pPr>
            <w:r>
              <w:rPr>
                <w:rFonts w:ascii="Consolas" w:cs="Consolas" w:eastAsia="Consolas" w:hAnsi="Consolas"/>
                <w:sz w:val="20"/>
                <w:szCs w:val="20"/>
              </w:rPr>
              <w:t xml:space="preserve">STEP 1. The incentive idea: [describe].</w:t>
            </w:r>
          </w:p>
          <w:p>
            <w:pPr>
              <w:spacing w:after="40"/>
            </w:pPr>
            <w:r>
              <w:rPr>
                <w:rFonts w:ascii="Consolas" w:cs="Consolas" w:eastAsia="Consolas" w:hAnsi="Consolas"/>
                <w:sz w:val="20"/>
                <w:szCs w:val="20"/>
              </w:rPr>
              <w:t xml:space="preserve">State the target behaviour (observable, sponsor earns from it — reject proxies), the offer terms, and the decision the test will change. Then stop and wait for my confirmation.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EF9E6" w:val="clear"/>
            <w:tcMar>
              <w:top w:type="dxa" w:w="140"/>
              <w:left w:type="dxa" w:w="180"/>
              <w:bottom w:type="dxa" w:w="140"/>
              <w:right w:type="dxa" w:w="180"/>
            </w:tcMar>
          </w:tcPr>
          <w:p>
            <w:pPr>
              <w:spacing w:after="100"/>
            </w:pPr>
            <w:r>
              <w:rPr>
                <w:b/>
                <w:bCs/>
                <w:sz w:val="20"/>
                <w:szCs w:val="20"/>
              </w:rPr>
              <w:t xml:space="preserve">REFERENCE EXAMPLE</w:t>
            </w:r>
          </w:p>
          <w:p>
            <w:pPr>
              <w:spacing w:after="40"/>
            </w:pPr>
            <w:r>
              <w:rPr>
                <w:sz w:val="20"/>
                <w:szCs w:val="20"/>
              </w:rPr>
              <w:t xml:space="preserve">Proxy: "card enrolments". Behaviour: "sustained card spend of £500+/quarter" — the sponsor earns interchange on spend, nothing on enrolment.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E8EEF8" w:val="clear"/>
            <w:tcMar>
              <w:top w:type="dxa" w:w="140"/>
              <w:left w:type="dxa" w:w="180"/>
              <w:bottom w:type="dxa" w:w="140"/>
              <w:right w:type="dxa" w:w="180"/>
            </w:tcMar>
          </w:tcPr>
          <w:p>
            <w:pPr>
              <w:spacing w:after="100"/>
            </w:pPr>
            <w:r>
              <w:rPr>
                <w:b/>
                <w:bCs/>
                <w:sz w:val="20"/>
                <w:szCs w:val="20"/>
              </w:rPr>
              <w:t xml:space="preserve">YOUR REVIEW CHECKLIST</w:t>
            </w:r>
          </w:p>
          <w:p>
            <w:pPr>
              <w:spacing w:after="40"/>
            </w:pPr>
            <w:r>
              <w:rPr>
                <w:sz w:val="20"/>
                <w:szCs w:val="20"/>
              </w:rPr>
              <w:t xml:space="preserve">☐  The target is a behaviour with an earning line attached, not a proxy (I8).</w:t>
            </w:r>
          </w:p>
          <w:p>
            <w:pPr>
              <w:spacing w:after="40"/>
            </w:pPr>
            <w:r>
              <w:rPr>
                <w:sz w:val="20"/>
                <w:szCs w:val="20"/>
              </w:rPr>
              <w:t xml:space="preserve">☐  The decision and its owner are named.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Target behaviour</w:t>
            </w:r>
          </w:p>
        </w:tc>
        <w:tc>
          <w:tcPr>
            <w:tcW w:type="dxa" w:w="30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Offer terms</w:t>
            </w:r>
          </w:p>
        </w:tc>
        <w:tc>
          <w:tcPr>
            <w:tcW w:type="dxa" w:w="3026"/>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Decision the test changes + owner</w:t>
            </w:r>
          </w:p>
        </w:tc>
      </w:tr>
      <w:tr>
        <w:tc>
          <w:tcPr>
            <w:tcW w:type="dxa" w:w="30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30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30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30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30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30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bl>
    <w:p>
      <w:pPr>
        <w:pStyle w:val="Heading2"/>
        <w:spacing w:after="140" w:before="280"/>
      </w:pPr>
      <w:r>
        <w:t xml:space="preserve">Step 2 — Score the offer: pin V and C, score B, classify the targeting</w:t>
      </w:r>
    </w:p>
    <w:p>
      <w:pPr>
        <w:spacing w:after="120"/>
      </w:pPr>
      <w:r>
        <w:t xml:space="preserve">Visibility and credibility are design choices — pin them. Behavioural drag is the discriminator — score it against the anchors. Targeting class decides deadweight.</w:t>
      </w:r>
    </w:p>
    <w:p>
      <w:pPr>
        <w:spacing w:after="120"/>
      </w:pPr>
      <w:r>
        <w:rPr>
          <w:i/>
          <w:iCs/>
          <w:sz w:val="19"/>
          <w:szCs w:val="19"/>
        </w:rPr>
        <w:t xml:space="preserve">Input: offer terms (Step 1)   Output: V/C design confirmation, B score with justification, targeting class</w:t>
      </w:r>
    </w:p>
    <w:p>
      <w:pPr>
        <w:pStyle w:val="Heading3"/>
        <w:spacing w:after="100" w:before="200"/>
      </w:pPr>
      <w:r>
        <w:t xml:space="preserve">Copilot procedure — do the steps in sequence</w:t>
      </w:r>
    </w:p>
    <w:p>
      <w:pPr>
        <w:pStyle w:val="ListParagraph"/>
        <w:numPr>
          <w:ilvl w:val="0"/>
          <w:numId w:val="4"/>
        </w:numPr>
        <w:spacing w:after="80"/>
      </w:pPr>
      <w:r>
        <w:rPr>
          <w:b/>
          <w:bCs/>
        </w:rPr>
        <w:t xml:space="preserve">Pin V and C by design: </w:t>
      </w:r>
      <w:r>
        <w:t xml:space="preserve">make the offer a stated amount, contractually guaranteed on compliance, landing where the customer already looks. Confirm V ≈ 0.9-0.95 and C ≈ 0.9, or redesign until they are.</w:t>
      </w:r>
    </w:p>
    <w:p>
      <w:pPr>
        <w:pStyle w:val="ListParagraph"/>
        <w:numPr>
          <w:ilvl w:val="0"/>
          <w:numId w:val="4"/>
        </w:numPr>
        <w:spacing w:after="80"/>
      </w:pPr>
      <w:r>
        <w:rPr>
          <w:b/>
          <w:bCs/>
        </w:rPr>
        <w:t xml:space="preserve">Score B against the anchors </w:t>
      </w:r>
      <w:r>
        <w:t xml:space="preserve">(1.0 slots-in-unchanged or routine-being-re-decided · 0.6 moderate habit change · 0.3 abandon-and-relearn), with one sentence of justification (I10). Apply the event-reset rule: offers timed to category entry, renewal, refinancing or failure meet no drag.</w:t>
      </w:r>
    </w:p>
    <w:p>
      <w:pPr>
        <w:pStyle w:val="ListParagraph"/>
        <w:numPr>
          <w:ilvl w:val="0"/>
          <w:numId w:val="4"/>
        </w:numPr>
        <w:spacing w:after="80"/>
      </w:pPr>
      <w:r>
        <w:rPr>
          <w:b/>
          <w:bCs/>
        </w:rPr>
        <w:t xml:space="preserve">Classify the targeting: </w:t>
      </w:r>
      <w:r>
        <w:t xml:space="preserve">OBSERVED STATE (dormancy, idleness, newness — deadweight near zero by design) or PREDICTED PROPENSITY (a model score). If propensity: run the base-rate arithmetic — precision ≈ base rate × lift. Below ~10% base rate, redesign around an observed state or event (I2).</w:t>
      </w:r>
    </w:p>
    <w:p>
      <w:pPr>
        <w:pStyle w:val="ListParagraph"/>
        <w:numPr>
          <w:ilvl w:val="0"/>
          <w:numId w:val="4"/>
        </w:numPr>
        <w:spacing w:after="80"/>
      </w:pPr>
      <w:r>
        <w:t xml:space="preserve">Compute the customer gate: face value × V × C × B versus compliance cost. If it fails, the offer is dead at any budget — redesign before costing.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1F3F5" w:val="clear"/>
            <w:tcMar>
              <w:top w:type="dxa" w:w="140"/>
              <w:left w:type="dxa" w:w="180"/>
              <w:bottom w:type="dxa" w:w="140"/>
              <w:right w:type="dxa" w:w="180"/>
            </w:tcMar>
          </w:tcPr>
          <w:p>
            <w:pPr>
              <w:spacing w:after="100"/>
            </w:pPr>
            <w:r>
              <w:rPr>
                <w:b/>
                <w:bCs/>
                <w:sz w:val="20"/>
                <w:szCs w:val="20"/>
              </w:rPr>
              <w:t xml:space="preserve">PROMPT FOR COPILOT — copy</w:t>
            </w:r>
          </w:p>
          <w:p>
            <w:pPr>
              <w:spacing w:after="40"/>
            </w:pPr>
            <w:r>
              <w:rPr>
                <w:rFonts w:ascii="Consolas" w:cs="Consolas" w:eastAsia="Consolas" w:hAnsi="Consolas"/>
                <w:sz w:val="20"/>
                <w:szCs w:val="20"/>
              </w:rPr>
              <w:t xml:space="preserve">[paste session state header]</w:t>
            </w:r>
          </w:p>
          <w:p>
            <w:pPr>
              <w:spacing w:after="40"/>
            </w:pPr>
            <w:r>
              <w:rPr>
                <w:rFonts w:ascii="Consolas" w:cs="Consolas" w:eastAsia="Consolas" w:hAnsi="Consolas"/>
                <w:sz w:val="20"/>
                <w:szCs w:val="20"/>
              </w:rPr>
              <w:t xml:space="preserve">STEP 2. Offer terms from Step 1. Confirm V and C are pinned by design (redesign if not). Score B against the anchors with one sentence of justification, applying the event-reset rule. Classify targeting as observed state or predicted propensity; if propensity, show the base-rate x lift precision arithmetic. Run the customer gate: deflated offer value vs compliance cost.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EF9E6" w:val="clear"/>
            <w:tcMar>
              <w:top w:type="dxa" w:w="140"/>
              <w:left w:type="dxa" w:w="180"/>
              <w:bottom w:type="dxa" w:w="140"/>
              <w:right w:type="dxa" w:w="180"/>
            </w:tcMar>
          </w:tcPr>
          <w:p>
            <w:pPr>
              <w:spacing w:after="100"/>
            </w:pPr>
            <w:r>
              <w:rPr>
                <w:b/>
                <w:bCs/>
                <w:sz w:val="20"/>
                <w:szCs w:val="20"/>
              </w:rPr>
              <w:t xml:space="preserve">REFERENCE EXAMPLE</w:t>
            </w:r>
          </w:p>
          <w:p>
            <w:pPr>
              <w:spacing w:after="40"/>
            </w:pPr>
            <w:r>
              <w:rPr>
                <w:sz w:val="20"/>
                <w:szCs w:val="20"/>
              </w:rPr>
              <w:t xml:space="preserve">£50 bonus for £500 spend in 90 days on a dormant card: V 0.95 x C 0.9 x B 0.6 → ~£26 vs £10-20 effort → passes, moderate take-up.</w:t>
            </w:r>
          </w:p>
          <w:p>
            <w:pPr>
              <w:spacing w:after="40"/>
            </w:pPr>
            <w:r>
              <w:rPr>
                <w:sz w:val="20"/>
                <w:szCs w:val="20"/>
              </w:rPr>
              <w:t xml:space="preserve">Churn-model targeting at 4%/yr base with 3x lift: precision ~12%, waste ~88% — refuse and redesign around the observed event (I2).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E8EEF8" w:val="clear"/>
            <w:tcMar>
              <w:top w:type="dxa" w:w="140"/>
              <w:left w:type="dxa" w:w="180"/>
              <w:bottom w:type="dxa" w:w="140"/>
              <w:right w:type="dxa" w:w="180"/>
            </w:tcMar>
          </w:tcPr>
          <w:p>
            <w:pPr>
              <w:spacing w:after="100"/>
            </w:pPr>
            <w:r>
              <w:rPr>
                <w:b/>
                <w:bCs/>
                <w:sz w:val="20"/>
                <w:szCs w:val="20"/>
              </w:rPr>
              <w:t xml:space="preserve">YOUR REVIEW CHECKLIST</w:t>
            </w:r>
          </w:p>
          <w:p>
            <w:pPr>
              <w:spacing w:after="40"/>
            </w:pPr>
            <w:r>
              <w:rPr>
                <w:sz w:val="20"/>
                <w:szCs w:val="20"/>
              </w:rPr>
              <w:t xml:space="preserve">☐  V and C pinned by design, not assumed (I10).</w:t>
            </w:r>
          </w:p>
          <w:p>
            <w:pPr>
              <w:spacing w:after="40"/>
            </w:pPr>
            <w:r>
              <w:rPr>
                <w:sz w:val="20"/>
                <w:szCs w:val="20"/>
              </w:rPr>
              <w:t xml:space="preserve">☐  B has an anchor and a justification sentence (I10).</w:t>
            </w:r>
          </w:p>
          <w:p>
            <w:pPr>
              <w:spacing w:after="40"/>
            </w:pPr>
            <w:r>
              <w:rPr>
                <w:sz w:val="20"/>
                <w:szCs w:val="20"/>
              </w:rPr>
              <w:t xml:space="preserve">☐  Propensity targeting carries the precision arithmetic, or was redesigned (I2).</w:t>
            </w:r>
          </w:p>
          <w:p>
            <w:pPr>
              <w:spacing w:after="40"/>
            </w:pPr>
            <w:r>
              <w:rPr>
                <w:sz w:val="20"/>
                <w:szCs w:val="20"/>
              </w:rPr>
              <w:t xml:space="preserve">☐  The customer gate verdict is recorded.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400"/>
        <w:gridCol w:w="2300"/>
        <w:gridCol w:w="1726"/>
      </w:tblGrid>
      <w:tr>
        <w:tc>
          <w:tcPr>
            <w:tcW w:type="dxa" w:w="13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V (design)</w:t>
            </w:r>
          </w:p>
        </w:tc>
        <w:tc>
          <w:tcPr>
            <w:tcW w:type="dxa" w:w="13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C (design)</w:t>
            </w:r>
          </w:p>
        </w:tc>
        <w:tc>
          <w:tcPr>
            <w:tcW w:type="dxa" w:w="24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B + justification</w:t>
            </w:r>
          </w:p>
        </w:tc>
        <w:tc>
          <w:tcPr>
            <w:tcW w:type="dxa" w:w="23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Targeting class + deadweight basis</w:t>
            </w:r>
          </w:p>
        </w:tc>
        <w:tc>
          <w:tcPr>
            <w:tcW w:type="dxa" w:w="1726"/>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Customer gate verdict</w:t>
            </w:r>
          </w:p>
        </w:tc>
      </w:tr>
      <w:tr>
        <w:tc>
          <w:tcPr>
            <w:tcW w:type="dxa" w:w="1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4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7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1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4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7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bl>
    <w:p>
      <w:pPr>
        <w:pStyle w:val="Heading2"/>
        <w:spacing w:after="140" w:before="280"/>
      </w:pPr>
      <w:r>
        <w:t xml:space="preserve">Step 3 — Cost it, per 1,000 eligible, banded</w:t>
      </w:r>
    </w:p>
    <w:p>
      <w:pPr>
        <w:spacing w:after="120"/>
      </w:pPr>
      <w:r>
        <w:t xml:space="preserve">Conditional payment structures bound the pessimistic corner by design. Return per pound is the ranking metric.</w:t>
      </w:r>
    </w:p>
    <w:p>
      <w:pPr>
        <w:spacing w:after="120"/>
      </w:pPr>
      <w:r>
        <w:rPr>
          <w:i/>
          <w:iCs/>
          <w:sz w:val="19"/>
          <w:szCs w:val="19"/>
        </w:rPr>
        <w:t xml:space="preserve">Input: scored offer (Step 2) + sponsor unit economics   Output: banded cost model + return per £</w:t>
      </w:r>
    </w:p>
    <w:p>
      <w:pPr>
        <w:pStyle w:val="Heading3"/>
        <w:spacing w:after="100" w:before="200"/>
      </w:pPr>
      <w:r>
        <w:t xml:space="preserve">Copilot procedure — do the steps in sequence</w:t>
      </w:r>
    </w:p>
    <w:p>
      <w:pPr>
        <w:pStyle w:val="ListParagraph"/>
        <w:numPr>
          <w:ilvl w:val="0"/>
          <w:numId w:val="5"/>
        </w:numPr>
        <w:spacing w:after="80"/>
      </w:pPr>
      <w:r>
        <w:t xml:space="preserve">Normalise to 1,000 eligible customers.</w:t>
      </w:r>
    </w:p>
    <w:p>
      <w:pPr>
        <w:pStyle w:val="ListParagraph"/>
        <w:numPr>
          <w:ilvl w:val="0"/>
          <w:numId w:val="5"/>
        </w:numPr>
        <w:spacing w:after="80"/>
      </w:pPr>
      <w:r>
        <w:t xml:space="preserve">Band take-up (pess/central/opt) from the Step 2 gate multiple; compute rewards paid — prefer payment conditional on the behaviour so cost scales with success.</w:t>
      </w:r>
    </w:p>
    <w:p>
      <w:pPr>
        <w:pStyle w:val="ListParagraph"/>
        <w:numPr>
          <w:ilvl w:val="0"/>
          <w:numId w:val="5"/>
        </w:numPr>
        <w:spacing w:after="80"/>
      </w:pPr>
      <w:r>
        <w:t xml:space="preserve">Band the incremental fraction (1 − deadweight) from the targeting class.</w:t>
      </w:r>
    </w:p>
    <w:p>
      <w:pPr>
        <w:pStyle w:val="ListParagraph"/>
        <w:numPr>
          <w:ilvl w:val="0"/>
          <w:numId w:val="5"/>
        </w:numPr>
        <w:spacing w:after="80"/>
      </w:pPr>
      <w:r>
        <w:t xml:space="preserve">Price the response: Δcontribution × persistence, from the sponsor's validated unit economics — mark every non-measured figure ILLUSTRATIVE.</w:t>
      </w:r>
    </w:p>
    <w:p>
      <w:pPr>
        <w:pStyle w:val="ListParagraph"/>
        <w:numPr>
          <w:ilvl w:val="0"/>
          <w:numId w:val="5"/>
        </w:numPr>
        <w:spacing w:after="80"/>
      </w:pPr>
      <w:r>
        <w:t xml:space="preserve">Compute return per £ at all three corners. State the funding ceiling: which revenue line funds this offer, and does the design survive its compression?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1F3F5" w:val="clear"/>
            <w:tcMar>
              <w:top w:type="dxa" w:w="140"/>
              <w:left w:type="dxa" w:w="180"/>
              <w:bottom w:type="dxa" w:w="140"/>
              <w:right w:type="dxa" w:w="180"/>
            </w:tcMar>
          </w:tcPr>
          <w:p>
            <w:pPr>
              <w:spacing w:after="100"/>
            </w:pPr>
            <w:r>
              <w:rPr>
                <w:b/>
                <w:bCs/>
                <w:sz w:val="20"/>
                <w:szCs w:val="20"/>
              </w:rPr>
              <w:t xml:space="preserve">PROMPT FOR COPILOT — copy</w:t>
            </w:r>
          </w:p>
          <w:p>
            <w:pPr>
              <w:spacing w:after="40"/>
            </w:pPr>
            <w:r>
              <w:rPr>
                <w:rFonts w:ascii="Consolas" w:cs="Consolas" w:eastAsia="Consolas" w:hAnsi="Consolas"/>
                <w:sz w:val="20"/>
                <w:szCs w:val="20"/>
              </w:rPr>
              <w:t xml:space="preserve">[paste session state header]</w:t>
            </w:r>
          </w:p>
          <w:p>
            <w:pPr>
              <w:spacing w:after="40"/>
            </w:pPr>
            <w:r>
              <w:rPr>
                <w:rFonts w:ascii="Consolas" w:cs="Consolas" w:eastAsia="Consolas" w:hAnsi="Consolas"/>
                <w:sz w:val="20"/>
                <w:szCs w:val="20"/>
              </w:rPr>
              <w:t xml:space="preserve">STEP 3. Sponsor unit economics: [contribution per behaviour, or ask me]. Cost the offer per 1,000 eligible at pess/central/opt: rewards paid, incremental compliers, value per response with persistence, return per £. Mark non-measured figures ILLUSTRATIVE. State the funding ceiling.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E8EEF8" w:val="clear"/>
            <w:tcMar>
              <w:top w:type="dxa" w:w="140"/>
              <w:left w:type="dxa" w:w="180"/>
              <w:bottom w:type="dxa" w:w="140"/>
              <w:right w:type="dxa" w:w="180"/>
            </w:tcMar>
          </w:tcPr>
          <w:p>
            <w:pPr>
              <w:spacing w:after="100"/>
            </w:pPr>
            <w:r>
              <w:rPr>
                <w:b/>
                <w:bCs/>
                <w:sz w:val="20"/>
                <w:szCs w:val="20"/>
              </w:rPr>
              <w:t xml:space="preserve">YOUR REVIEW CHECKLIST</w:t>
            </w:r>
          </w:p>
          <w:p>
            <w:pPr>
              <w:spacing w:after="40"/>
            </w:pPr>
            <w:r>
              <w:rPr>
                <w:sz w:val="20"/>
                <w:szCs w:val="20"/>
              </w:rPr>
              <w:t xml:space="preserve">☐  All figures banded; headline is central, never optimistic.</w:t>
            </w:r>
          </w:p>
          <w:p>
            <w:pPr>
              <w:spacing w:after="40"/>
            </w:pPr>
            <w:r>
              <w:rPr>
                <w:sz w:val="20"/>
                <w:szCs w:val="20"/>
              </w:rPr>
              <w:t xml:space="preserve">☐  Payment is conditional on the behaviour where possible.</w:t>
            </w:r>
          </w:p>
          <w:p>
            <w:pPr>
              <w:spacing w:after="40"/>
            </w:pPr>
            <w:r>
              <w:rPr>
                <w:sz w:val="20"/>
                <w:szCs w:val="20"/>
              </w:rPr>
              <w:t xml:space="preserve">☐  Deadweight is priced, not ignored (I6).</w:t>
            </w:r>
          </w:p>
          <w:p>
            <w:pPr>
              <w:spacing w:after="40"/>
            </w:pPr>
            <w:r>
              <w:rPr>
                <w:sz w:val="20"/>
                <w:szCs w:val="20"/>
              </w:rPr>
              <w:t xml:space="preserve">☐  The funding ceiling is named.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2226"/>
      </w:tblGrid>
      <w:tr>
        <w:tc>
          <w:tcPr>
            <w:tcW w:type="dxa" w:w="23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Parameter</w:t>
            </w:r>
          </w:p>
        </w:tc>
        <w:tc>
          <w:tcPr>
            <w:tcW w:type="dxa" w:w="15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Pessimistic</w:t>
            </w:r>
          </w:p>
        </w:tc>
        <w:tc>
          <w:tcPr>
            <w:tcW w:type="dxa" w:w="15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Central</w:t>
            </w:r>
          </w:p>
        </w:tc>
        <w:tc>
          <w:tcPr>
            <w:tcW w:type="dxa" w:w="15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Optimistic</w:t>
            </w:r>
          </w:p>
        </w:tc>
        <w:tc>
          <w:tcPr>
            <w:tcW w:type="dxa" w:w="2226"/>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Source / ILLUSTRATIVE flag</w:t>
            </w:r>
          </w:p>
        </w:tc>
      </w:tr>
      <w:tr>
        <w:tc>
          <w:tcPr>
            <w:tcW w:type="dxa" w:w="2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3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bl>
    <w:p>
      <w:pPr>
        <w:pStyle w:val="Heading2"/>
        <w:spacing w:after="140" w:before="280"/>
      </w:pPr>
      <w:r>
        <w:t xml:space="preserve">Step 4 — Build the data register: desk validation before experimentation</w:t>
      </w:r>
    </w:p>
    <w:p>
      <w:pPr>
        <w:spacing w:after="120"/>
      </w:pPr>
      <w:r>
        <w:t xml:space="preserve">Most of the cost model de-risks for free from the sponsor's records. Experiments are for what records cannot supply — almost always take-up and deadweight.</w:t>
      </w:r>
    </w:p>
    <w:p>
      <w:pPr>
        <w:spacing w:after="120"/>
      </w:pPr>
      <w:r>
        <w:rPr>
          <w:i/>
          <w:iCs/>
          <w:sz w:val="19"/>
          <w:szCs w:val="19"/>
        </w:rPr>
        <w:t xml:space="preserve">Input: cost model (Step 3)   Output: data register, run to completion before Step 5</w:t>
      </w:r>
    </w:p>
    <w:p>
      <w:pPr>
        <w:pStyle w:val="Heading3"/>
        <w:spacing w:after="100" w:before="200"/>
      </w:pPr>
      <w:r>
        <w:t xml:space="preserve">Copilot procedure — do the steps in sequence</w:t>
      </w:r>
    </w:p>
    <w:p>
      <w:pPr>
        <w:pStyle w:val="ListParagraph"/>
        <w:numPr>
          <w:ilvl w:val="0"/>
          <w:numId w:val="6"/>
        </w:numPr>
        <w:spacing w:after="80"/>
      </w:pPr>
      <w:r>
        <w:t xml:space="preserve">List every parameter in the cost model.</w:t>
      </w:r>
    </w:p>
    <w:p>
      <w:pPr>
        <w:pStyle w:val="ListParagraph"/>
        <w:numPr>
          <w:ilvl w:val="0"/>
          <w:numId w:val="6"/>
        </w:numPr>
        <w:spacing w:after="80"/>
      </w:pPr>
      <w:r>
        <w:t xml:space="preserve">For each: current assumption (band + tier), the internal dataset that validates it, and what a materially different answer changes.</w:t>
      </w:r>
    </w:p>
    <w:p>
      <w:pPr>
        <w:pStyle w:val="ListParagraph"/>
        <w:numPr>
          <w:ilvl w:val="0"/>
          <w:numId w:val="6"/>
        </w:numPr>
        <w:spacing w:after="80"/>
      </w:pPr>
      <w:r>
        <w:t xml:space="preserve">Mark the parameters no internal dataset can supply — these, and only these, are what the experiment measures.</w:t>
      </w:r>
    </w:p>
    <w:p>
      <w:pPr>
        <w:pStyle w:val="ListParagraph"/>
        <w:numPr>
          <w:ilvl w:val="0"/>
          <w:numId w:val="6"/>
        </w:numPr>
        <w:spacing w:after="80"/>
      </w:pPr>
      <w:r>
        <w:t xml:space="preserve">Do not proceed to Step 5 until the queryable rows are answered — testing what a database could answer wastes budget and statistical 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1F3F5" w:val="clear"/>
            <w:tcMar>
              <w:top w:type="dxa" w:w="140"/>
              <w:left w:type="dxa" w:w="180"/>
              <w:bottom w:type="dxa" w:w="140"/>
              <w:right w:type="dxa" w:w="180"/>
            </w:tcMar>
          </w:tcPr>
          <w:p>
            <w:pPr>
              <w:spacing w:after="100"/>
            </w:pPr>
            <w:r>
              <w:rPr>
                <w:b/>
                <w:bCs/>
                <w:sz w:val="20"/>
                <w:szCs w:val="20"/>
              </w:rPr>
              <w:t xml:space="preserve">PROMPT FOR COPILOT — copy</w:t>
            </w:r>
          </w:p>
          <w:p>
            <w:pPr>
              <w:spacing w:after="40"/>
            </w:pPr>
            <w:r>
              <w:rPr>
                <w:rFonts w:ascii="Consolas" w:cs="Consolas" w:eastAsia="Consolas" w:hAnsi="Consolas"/>
                <w:sz w:val="20"/>
                <w:szCs w:val="20"/>
              </w:rPr>
              <w:t xml:space="preserve">[paste session state header]</w:t>
            </w:r>
          </w:p>
          <w:p>
            <w:pPr>
              <w:spacing w:after="40"/>
            </w:pPr>
            <w:r>
              <w:rPr>
                <w:rFonts w:ascii="Consolas" w:cs="Consolas" w:eastAsia="Consolas" w:hAnsi="Consolas"/>
                <w:sz w:val="20"/>
                <w:szCs w:val="20"/>
              </w:rPr>
              <w:t xml:space="preserve">STEP 4. Build the data register for every cost-model parameter: assumption (band + tier) / internal dataset that validates it / what changes if materially different. Mark the rows only an experiment can answer. Give me the register as a task list for the data team.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E8EEF8" w:val="clear"/>
            <w:tcMar>
              <w:top w:type="dxa" w:w="140"/>
              <w:left w:type="dxa" w:w="180"/>
              <w:bottom w:type="dxa" w:w="140"/>
              <w:right w:type="dxa" w:w="180"/>
            </w:tcMar>
          </w:tcPr>
          <w:p>
            <w:pPr>
              <w:spacing w:after="100"/>
            </w:pPr>
            <w:r>
              <w:rPr>
                <w:b/>
                <w:bCs/>
                <w:sz w:val="20"/>
                <w:szCs w:val="20"/>
              </w:rPr>
              <w:t xml:space="preserve">YOUR REVIEW CHECKLIST</w:t>
            </w:r>
          </w:p>
          <w:p>
            <w:pPr>
              <w:spacing w:after="40"/>
            </w:pPr>
            <w:r>
              <w:rPr>
                <w:sz w:val="20"/>
                <w:szCs w:val="20"/>
              </w:rPr>
              <w:t xml:space="preserve">☐  Every model parameter has a register row.</w:t>
            </w:r>
          </w:p>
          <w:p>
            <w:pPr>
              <w:spacing w:after="40"/>
            </w:pPr>
            <w:r>
              <w:rPr>
                <w:sz w:val="20"/>
                <w:szCs w:val="20"/>
              </w:rPr>
              <w:t xml:space="preserve">☐  Queryable rows are routed to data pulls, not experiments.</w:t>
            </w:r>
          </w:p>
          <w:p>
            <w:pPr>
              <w:spacing w:after="40"/>
            </w:pPr>
            <w:r>
              <w:rPr>
                <w:sz w:val="20"/>
                <w:szCs w:val="20"/>
              </w:rPr>
              <w:t xml:space="preserve">☐  The experiment-only list is short — typically take-up and deadweight.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2100"/>
        <w:gridCol w:w="1226"/>
      </w:tblGrid>
      <w:tr>
        <w:tc>
          <w:tcPr>
            <w:tcW w:type="dxa" w:w="19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Parameter</w:t>
            </w:r>
          </w:p>
        </w:tc>
        <w:tc>
          <w:tcPr>
            <w:tcW w:type="dxa" w:w="19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Assumption (band + tier)</w:t>
            </w:r>
          </w:p>
        </w:tc>
        <w:tc>
          <w:tcPr>
            <w:tcW w:type="dxa" w:w="19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Validating dataset</w:t>
            </w:r>
          </w:p>
        </w:tc>
        <w:tc>
          <w:tcPr>
            <w:tcW w:type="dxa" w:w="21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If materially different →</w:t>
            </w:r>
          </w:p>
        </w:tc>
        <w:tc>
          <w:tcPr>
            <w:tcW w:type="dxa" w:w="1226"/>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Experiment-only?</w:t>
            </w:r>
          </w:p>
        </w:tc>
      </w:tr>
      <w:tr>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2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bl>
    <w:p>
      <w:pPr>
        <w:pStyle w:val="Heading2"/>
        <w:spacing w:after="140" w:before="280"/>
      </w:pPr>
      <w:r>
        <w:t xml:space="preserve">Step 5 — Design the experiment</w:t>
      </w:r>
    </w:p>
    <w:p>
      <w:pPr>
        <w:spacing w:after="120"/>
      </w:pPr>
      <w:r>
        <w:t xml:space="preserve">The holdout is the deadweight measurement. The metric is the behaviour. The clock matches the variable.</w:t>
      </w:r>
    </w:p>
    <w:p>
      <w:pPr>
        <w:spacing w:after="120"/>
      </w:pPr>
      <w:r>
        <w:rPr>
          <w:i/>
          <w:iCs/>
          <w:sz w:val="19"/>
          <w:szCs w:val="19"/>
        </w:rPr>
        <w:t xml:space="preserve">Input: experiment-only parameters (Step 4)   Output: test design</w:t>
      </w:r>
    </w:p>
    <w:p>
      <w:pPr>
        <w:pStyle w:val="Heading3"/>
        <w:spacing w:after="100" w:before="200"/>
      </w:pPr>
      <w:r>
        <w:t xml:space="preserve">Copilot procedure — do the steps in sequence</w:t>
      </w:r>
    </w:p>
    <w:p>
      <w:pPr>
        <w:pStyle w:val="ListParagraph"/>
        <w:numPr>
          <w:ilvl w:val="0"/>
          <w:numId w:val="7"/>
        </w:numPr>
        <w:spacing w:after="80"/>
      </w:pPr>
      <w:r>
        <w:rPr>
          <w:b/>
          <w:bCs/>
        </w:rPr>
        <w:t xml:space="preserve">Choose the randomisation unit: </w:t>
      </w:r>
      <w:r>
        <w:t xml:space="preserve">individual RCT by default; matched geo/time cells with difference-in-differences where the offer leaks between individuals — intermediaries, advertising, word of mouth (I11).</w:t>
      </w:r>
    </w:p>
    <w:p>
      <w:pPr>
        <w:pStyle w:val="ListParagraph"/>
        <w:numPr>
          <w:ilvl w:val="0"/>
          <w:numId w:val="7"/>
        </w:numPr>
        <w:spacing w:after="80"/>
      </w:pPr>
      <w:r>
        <w:rPr>
          <w:b/>
          <w:bCs/>
        </w:rPr>
        <w:t xml:space="preserve">Set the primary metric </w:t>
      </w:r>
      <w:r>
        <w:t xml:space="preserve">= the target behaviour from Step 1, measured treatment vs control. Control behaviour is the deadweight readout (I1, I6).</w:t>
      </w:r>
    </w:p>
    <w:p>
      <w:pPr>
        <w:pStyle w:val="ListParagraph"/>
        <w:numPr>
          <w:ilvl w:val="0"/>
          <w:numId w:val="7"/>
        </w:numPr>
        <w:spacing w:after="80"/>
      </w:pPr>
      <w:r>
        <w:rPr>
          <w:b/>
          <w:bCs/>
        </w:rPr>
        <w:t xml:space="preserve">Set persistence follow-up </w:t>
      </w:r>
      <w:r>
        <w:t xml:space="preserve">(typically 6-12 months) as a mandatory secondary metric (I5), plus guardrails: what the offer must not damage.</w:t>
      </w:r>
    </w:p>
    <w:p>
      <w:pPr>
        <w:pStyle w:val="ListParagraph"/>
        <w:numPr>
          <w:ilvl w:val="0"/>
          <w:numId w:val="7"/>
        </w:numPr>
        <w:spacing w:after="80"/>
      </w:pPr>
      <w:r>
        <w:rPr>
          <w:b/>
          <w:bCs/>
        </w:rPr>
        <w:t xml:space="preserve">Size it: </w:t>
      </w:r>
      <w:r>
        <w:t xml:space="preserve">n ≈ 16 × p̄(1−p̄) ÷ d² per arm at 95%/80%. State the minimum detectable effect in behaviour terms.</w:t>
      </w:r>
    </w:p>
    <w:p>
      <w:pPr>
        <w:pStyle w:val="ListParagraph"/>
        <w:numPr>
          <w:ilvl w:val="0"/>
          <w:numId w:val="7"/>
        </w:numPr>
        <w:spacing w:after="80"/>
      </w:pPr>
      <w:r>
        <w:rPr>
          <w:b/>
          <w:bCs/>
        </w:rPr>
        <w:t xml:space="preserve">Match duration to the variable's clock: </w:t>
      </w:r>
      <w:r>
        <w:t xml:space="preserve">fast behaviours read in weeks; slow variables (retention, attrition) need 12+ months and get measurement budget, not programme budget, until they report (I9).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1F3F5" w:val="clear"/>
            <w:tcMar>
              <w:top w:type="dxa" w:w="140"/>
              <w:left w:type="dxa" w:w="180"/>
              <w:bottom w:type="dxa" w:w="140"/>
              <w:right w:type="dxa" w:w="180"/>
            </w:tcMar>
          </w:tcPr>
          <w:p>
            <w:pPr>
              <w:spacing w:after="100"/>
            </w:pPr>
            <w:r>
              <w:rPr>
                <w:b/>
                <w:bCs/>
                <w:sz w:val="20"/>
                <w:szCs w:val="20"/>
              </w:rPr>
              <w:t xml:space="preserve">PROMPT FOR COPILOT — copy</w:t>
            </w:r>
          </w:p>
          <w:p>
            <w:pPr>
              <w:spacing w:after="40"/>
            </w:pPr>
            <w:r>
              <w:rPr>
                <w:rFonts w:ascii="Consolas" w:cs="Consolas" w:eastAsia="Consolas" w:hAnsi="Consolas"/>
                <w:sz w:val="20"/>
                <w:szCs w:val="20"/>
              </w:rPr>
              <w:t xml:space="preserve">[paste session state header]</w:t>
            </w:r>
          </w:p>
          <w:p>
            <w:pPr>
              <w:spacing w:after="40"/>
            </w:pPr>
            <w:r>
              <w:rPr>
                <w:rFonts w:ascii="Consolas" w:cs="Consolas" w:eastAsia="Consolas" w:hAnsi="Consolas"/>
                <w:sz w:val="20"/>
                <w:szCs w:val="20"/>
              </w:rPr>
              <w:t xml:space="preserve">STEP 5. Design the experiment for the parameters only a test can answer: randomisation unit (justify individual vs cells), arms, primary metric (the behaviour, treatment vs control), persistence window, guardrails, sample size with the MDE arithmetic shown, and duration matched to the variable's clock.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EF9E6" w:val="clear"/>
            <w:tcMar>
              <w:top w:type="dxa" w:w="140"/>
              <w:left w:type="dxa" w:w="180"/>
              <w:bottom w:type="dxa" w:w="140"/>
              <w:right w:type="dxa" w:w="180"/>
            </w:tcMar>
          </w:tcPr>
          <w:p>
            <w:pPr>
              <w:spacing w:after="100"/>
            </w:pPr>
            <w:r>
              <w:rPr>
                <w:b/>
                <w:bCs/>
                <w:sz w:val="20"/>
                <w:szCs w:val="20"/>
              </w:rPr>
              <w:t xml:space="preserve">REFERENCE EXAMPLE</w:t>
            </w:r>
          </w:p>
          <w:p>
            <w:pPr>
              <w:spacing w:after="40"/>
            </w:pPr>
            <w:r>
              <w:rPr>
                <w:sz w:val="20"/>
                <w:szCs w:val="20"/>
              </w:rPr>
              <w:t xml:space="preserve">Offers at a formation/category-entry moment leak through accountants and brokers — matched geo cells with difference-in-differences, not individual randomisation (I11).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E8EEF8" w:val="clear"/>
            <w:tcMar>
              <w:top w:type="dxa" w:w="140"/>
              <w:left w:type="dxa" w:w="180"/>
              <w:bottom w:type="dxa" w:w="140"/>
              <w:right w:type="dxa" w:w="180"/>
            </w:tcMar>
          </w:tcPr>
          <w:p>
            <w:pPr>
              <w:spacing w:after="100"/>
            </w:pPr>
            <w:r>
              <w:rPr>
                <w:b/>
                <w:bCs/>
                <w:sz w:val="20"/>
                <w:szCs w:val="20"/>
              </w:rPr>
              <w:t xml:space="preserve">YOUR REVIEW CHECKLIST</w:t>
            </w:r>
          </w:p>
          <w:p>
            <w:pPr>
              <w:spacing w:after="40"/>
            </w:pPr>
            <w:r>
              <w:rPr>
                <w:sz w:val="20"/>
                <w:szCs w:val="20"/>
              </w:rPr>
              <w:t xml:space="preserve">☐  A holdout exists and its role as the deadweight measure is stated (I1, I6).</w:t>
            </w:r>
          </w:p>
          <w:p>
            <w:pPr>
              <w:spacing w:after="40"/>
            </w:pPr>
            <w:r>
              <w:rPr>
                <w:sz w:val="20"/>
                <w:szCs w:val="20"/>
              </w:rPr>
              <w:t xml:space="preserve">☐  Primary metric is the behaviour, not a proxy (I8).</w:t>
            </w:r>
          </w:p>
          <w:p>
            <w:pPr>
              <w:spacing w:after="40"/>
            </w:pPr>
            <w:r>
              <w:rPr>
                <w:sz w:val="20"/>
                <w:szCs w:val="20"/>
              </w:rPr>
              <w:t xml:space="preserve">☐  Persistence window and guardrails are named (I5).</w:t>
            </w:r>
          </w:p>
          <w:p>
            <w:pPr>
              <w:spacing w:after="40"/>
            </w:pPr>
            <w:r>
              <w:rPr>
                <w:sz w:val="20"/>
                <w:szCs w:val="20"/>
              </w:rPr>
              <w:t xml:space="preserve">☐  Sample size shows the arithmetic; duration matches the variable (I9).</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Design element</w:t>
            </w:r>
          </w:p>
        </w:tc>
        <w:tc>
          <w:tcPr>
            <w:tcW w:type="dxa" w:w="6426"/>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Specification</w:t>
            </w:r>
          </w:p>
        </w:tc>
      </w:tr>
      <w:tr>
        <w:tc>
          <w:tcPr>
            <w:tcW w:type="dxa" w:w="26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64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6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64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6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64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6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64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6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64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6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64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bl>
    <w:p>
      <w:pPr>
        <w:pStyle w:val="Heading2"/>
        <w:spacing w:after="140" w:before="280"/>
      </w:pPr>
      <w:r>
        <w:t xml:space="preserve">Step 6 — Register the decision rule (before launch)</w:t>
      </w:r>
    </w:p>
    <w:p>
      <w:pPr>
        <w:spacing w:after="120"/>
      </w:pPr>
      <w:r>
        <w:t xml:space="preserve">A decision rule set after results are visible is not a decision rule. Register scale, kill, and the benchmark in writing, dated, before the first offer lands.</w:t>
      </w:r>
    </w:p>
    <w:p>
      <w:pPr>
        <w:pStyle w:val="Heading3"/>
        <w:spacing w:after="100" w:before="200"/>
      </w:pPr>
      <w:r>
        <w:t xml:space="preserve">Copilot procedure — do the steps in sequence</w:t>
      </w:r>
    </w:p>
    <w:p>
      <w:pPr>
        <w:pStyle w:val="ListParagraph"/>
        <w:numPr>
          <w:ilvl w:val="0"/>
          <w:numId w:val="8"/>
        </w:numPr>
        <w:spacing w:after="80"/>
      </w:pPr>
      <w:r>
        <w:rPr>
          <w:b/>
          <w:bCs/>
        </w:rPr>
        <w:t xml:space="preserve">Scale threshold, </w:t>
      </w:r>
      <w:r>
        <w:t xml:space="preserve">tied to unit economics: e.g. scale if cost per persisting incremental behaviour &lt; 1/3 x validated contribution (the 1/3 inherits the parent standard's Gate 2 logic).</w:t>
      </w:r>
    </w:p>
    <w:p>
      <w:pPr>
        <w:pStyle w:val="ListParagraph"/>
        <w:numPr>
          <w:ilvl w:val="0"/>
          <w:numId w:val="8"/>
        </w:numPr>
        <w:spacing w:after="80"/>
      </w:pPr>
      <w:r>
        <w:rPr>
          <w:b/>
          <w:bCs/>
        </w:rPr>
        <w:t xml:space="preserve">Kill threshold: </w:t>
      </w:r>
      <w:r>
        <w:t xml:space="preserve">the result below which the mechanic is dropped without renegotiation.</w:t>
      </w:r>
    </w:p>
    <w:p>
      <w:pPr>
        <w:pStyle w:val="ListParagraph"/>
        <w:numPr>
          <w:ilvl w:val="0"/>
          <w:numId w:val="8"/>
        </w:numPr>
        <w:spacing w:after="80"/>
      </w:pPr>
      <w:r>
        <w:rPr>
          <w:b/>
          <w:bCs/>
        </w:rPr>
        <w:t xml:space="preserve">The benchmark rule: </w:t>
      </w:r>
      <w:r>
        <w:t xml:space="preserve">the mechanic must beat the cheapest alternative route to the same outcome — a product fix, a default, a service change — never merely beat doing nothing (I7).</w:t>
      </w:r>
    </w:p>
    <w:p>
      <w:pPr>
        <w:pStyle w:val="ListParagraph"/>
        <w:numPr>
          <w:ilvl w:val="0"/>
          <w:numId w:val="8"/>
        </w:numPr>
        <w:spacing w:after="80"/>
      </w:pPr>
      <w:r>
        <w:t xml:space="preserve">Date the registration and name the decision owner. Any later change to the thresholds is recorded as a change, with a reason (I3).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1F3F5" w:val="clear"/>
            <w:tcMar>
              <w:top w:type="dxa" w:w="140"/>
              <w:left w:type="dxa" w:w="180"/>
              <w:bottom w:type="dxa" w:w="140"/>
              <w:right w:type="dxa" w:w="180"/>
            </w:tcMar>
          </w:tcPr>
          <w:p>
            <w:pPr>
              <w:spacing w:after="100"/>
            </w:pPr>
            <w:r>
              <w:rPr>
                <w:b/>
                <w:bCs/>
                <w:sz w:val="20"/>
                <w:szCs w:val="20"/>
              </w:rPr>
              <w:t xml:space="preserve">PROMPT FOR COPILOT — copy</w:t>
            </w:r>
          </w:p>
          <w:p>
            <w:pPr>
              <w:spacing w:after="40"/>
            </w:pPr>
            <w:r>
              <w:rPr>
                <w:rFonts w:ascii="Consolas" w:cs="Consolas" w:eastAsia="Consolas" w:hAnsi="Consolas"/>
                <w:sz w:val="20"/>
                <w:szCs w:val="20"/>
              </w:rPr>
              <w:t xml:space="preserve">[paste session state header]</w:t>
            </w:r>
          </w:p>
          <w:p>
            <w:pPr>
              <w:spacing w:after="40"/>
            </w:pPr>
            <w:r>
              <w:rPr>
                <w:rFonts w:ascii="Consolas" w:cs="Consolas" w:eastAsia="Consolas" w:hAnsi="Consolas"/>
                <w:sz w:val="20"/>
                <w:szCs w:val="20"/>
              </w:rPr>
              <w:t xml:space="preserve">STEP 6. Draft the pre-registration: scale threshold (tied to validated unit economics), kill threshold, the cheapest-alternative benchmark and its arithmetic, decision owner, and date. Flag anything in the draft that a results-aware person could bend later (I3).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EF9E6" w:val="clear"/>
            <w:tcMar>
              <w:top w:type="dxa" w:w="140"/>
              <w:left w:type="dxa" w:w="180"/>
              <w:bottom w:type="dxa" w:w="140"/>
              <w:right w:type="dxa" w:w="180"/>
            </w:tcMar>
          </w:tcPr>
          <w:p>
            <w:pPr>
              <w:spacing w:after="100"/>
            </w:pPr>
            <w:r>
              <w:rPr>
                <w:b/>
                <w:bCs/>
                <w:sz w:val="20"/>
                <w:szCs w:val="20"/>
              </w:rPr>
              <w:t xml:space="preserve">REFERENCE EXAMPLE</w:t>
            </w:r>
          </w:p>
          <w:p>
            <w:pPr>
              <w:spacing w:after="40"/>
            </w:pPr>
            <w:r>
              <w:rPr>
                <w:sz w:val="20"/>
                <w:szCs w:val="20"/>
              </w:rPr>
              <w:t xml:space="preserve">A retention-rate mechanic's benchmark is not zero — it is the product-shaped defence (an auto-sweep, a default). If the reward costs more per £ of outcome than the product fix, it fails while "working".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E8EEF8" w:val="clear"/>
            <w:tcMar>
              <w:top w:type="dxa" w:w="140"/>
              <w:left w:type="dxa" w:w="180"/>
              <w:bottom w:type="dxa" w:w="140"/>
              <w:right w:type="dxa" w:w="180"/>
            </w:tcMar>
          </w:tcPr>
          <w:p>
            <w:pPr>
              <w:spacing w:after="100"/>
            </w:pPr>
            <w:r>
              <w:rPr>
                <w:b/>
                <w:bCs/>
                <w:sz w:val="20"/>
                <w:szCs w:val="20"/>
              </w:rPr>
              <w:t xml:space="preserve">YOUR REVIEW CHECKLIST</w:t>
            </w:r>
          </w:p>
          <w:p>
            <w:pPr>
              <w:spacing w:after="40"/>
            </w:pPr>
            <w:r>
              <w:rPr>
                <w:sz w:val="20"/>
                <w:szCs w:val="20"/>
              </w:rPr>
              <w:t xml:space="preserve">☐  Scale and kill thresholds are numeric and dated before launch (I3).</w:t>
            </w:r>
          </w:p>
          <w:p>
            <w:pPr>
              <w:spacing w:after="40"/>
            </w:pPr>
            <w:r>
              <w:rPr>
                <w:sz w:val="20"/>
                <w:szCs w:val="20"/>
              </w:rPr>
              <w:t xml:space="preserve">☐  The benchmark is the cheapest alternative, honestly chosen (I7).</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900"/>
        <w:gridCol w:w="1926"/>
      </w:tblGrid>
      <w:tr>
        <w:tc>
          <w:tcPr>
            <w:tcW w:type="dxa" w:w="21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Scale threshold</w:t>
            </w:r>
          </w:p>
        </w:tc>
        <w:tc>
          <w:tcPr>
            <w:tcW w:type="dxa" w:w="21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Kill threshold</w:t>
            </w:r>
          </w:p>
        </w:tc>
        <w:tc>
          <w:tcPr>
            <w:tcW w:type="dxa" w:w="29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Benchmark (cheapest alternative) + arithmetic</w:t>
            </w:r>
          </w:p>
        </w:tc>
        <w:tc>
          <w:tcPr>
            <w:tcW w:type="dxa" w:w="1926"/>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Owner + date</w:t>
            </w:r>
          </w:p>
        </w:tc>
      </w:tr>
      <w:tr>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9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9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bl>
    <w:p>
      <w:pPr>
        <w:pStyle w:val="Heading2"/>
        <w:spacing w:after="140" w:before="280"/>
      </w:pPr>
      <w:r>
        <w:t xml:space="preserve">Step 7 — Run and read</w:t>
      </w:r>
    </w:p>
    <w:p>
      <w:pPr>
        <w:spacing w:after="120"/>
      </w:pPr>
      <w:r>
        <w:t xml:space="preserve">Read the test against the registration — nothing else.</w:t>
      </w:r>
    </w:p>
    <w:p>
      <w:pPr>
        <w:pStyle w:val="ListParagraph"/>
        <w:numPr>
          <w:ilvl w:val="0"/>
          <w:numId w:val="9"/>
        </w:numPr>
        <w:spacing w:after="80"/>
      </w:pPr>
      <w:r>
        <w:t xml:space="preserve">Report primary metric treatment vs control, with confidence interval.</w:t>
      </w:r>
    </w:p>
    <w:p>
      <w:pPr>
        <w:pStyle w:val="ListParagraph"/>
        <w:numPr>
          <w:ilvl w:val="0"/>
          <w:numId w:val="9"/>
        </w:numPr>
        <w:spacing w:after="80"/>
      </w:pPr>
      <w:r>
        <w:t xml:space="preserve">Report deadweight: control-group behaviour as the counterfactual (I6).</w:t>
      </w:r>
    </w:p>
    <w:p>
      <w:pPr>
        <w:pStyle w:val="ListParagraph"/>
        <w:numPr>
          <w:ilvl w:val="0"/>
          <w:numId w:val="9"/>
        </w:numPr>
        <w:spacing w:after="80"/>
      </w:pPr>
      <w:r>
        <w:t xml:space="preserve">Report persistence at the registered window — no value claims from the launch window alone (I5).</w:t>
      </w:r>
    </w:p>
    <w:p>
      <w:pPr>
        <w:pStyle w:val="ListParagraph"/>
        <w:numPr>
          <w:ilvl w:val="0"/>
          <w:numId w:val="9"/>
        </w:numPr>
        <w:spacing w:after="80"/>
      </w:pPr>
      <w:r>
        <w:t xml:space="preserve">Report guardrails.</w:t>
      </w:r>
    </w:p>
    <w:p>
      <w:pPr>
        <w:pStyle w:val="ListParagraph"/>
        <w:numPr>
          <w:ilvl w:val="0"/>
          <w:numId w:val="9"/>
        </w:numPr>
        <w:spacing w:after="80"/>
      </w:pPr>
      <w:r>
        <w:t xml:space="preserve">Apply the registered decision rule. Record the verdict: scale / kill / redesign-and-rerun.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1F3F5" w:val="clear"/>
            <w:tcMar>
              <w:top w:type="dxa" w:w="140"/>
              <w:left w:type="dxa" w:w="180"/>
              <w:bottom w:type="dxa" w:w="140"/>
              <w:right w:type="dxa" w:w="180"/>
            </w:tcMar>
          </w:tcPr>
          <w:p>
            <w:pPr>
              <w:spacing w:after="100"/>
            </w:pPr>
            <w:r>
              <w:rPr>
                <w:b/>
                <w:bCs/>
                <w:sz w:val="20"/>
                <w:szCs w:val="20"/>
              </w:rPr>
              <w:t xml:space="preserve">PROMPT FOR COPILOT — copy</w:t>
            </w:r>
          </w:p>
          <w:p>
            <w:pPr>
              <w:spacing w:after="40"/>
            </w:pPr>
            <w:r>
              <w:rPr>
                <w:rFonts w:ascii="Consolas" w:cs="Consolas" w:eastAsia="Consolas" w:hAnsi="Consolas"/>
                <w:sz w:val="20"/>
                <w:szCs w:val="20"/>
              </w:rPr>
              <w:t xml:space="preserve">[paste session state header]</w:t>
            </w:r>
          </w:p>
          <w:p>
            <w:pPr>
              <w:spacing w:after="40"/>
            </w:pPr>
            <w:r>
              <w:rPr>
                <w:rFonts w:ascii="Consolas" w:cs="Consolas" w:eastAsia="Consolas" w:hAnsi="Consolas"/>
                <w:sz w:val="20"/>
                <w:szCs w:val="20"/>
              </w:rPr>
              <w:t xml:space="preserve">STEP 7. Results: [paste]. Read them strictly against the Step 6 registration: incremental behaviour with CI, deadweight from control, persistence, guardrails, verdict under the registered rule. Flag any temptation to move a threshold (I3).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E8EEF8" w:val="clear"/>
            <w:tcMar>
              <w:top w:type="dxa" w:w="140"/>
              <w:left w:type="dxa" w:w="180"/>
              <w:bottom w:type="dxa" w:w="140"/>
              <w:right w:type="dxa" w:w="180"/>
            </w:tcMar>
          </w:tcPr>
          <w:p>
            <w:pPr>
              <w:spacing w:after="100"/>
            </w:pPr>
            <w:r>
              <w:rPr>
                <w:b/>
                <w:bCs/>
                <w:sz w:val="20"/>
                <w:szCs w:val="20"/>
              </w:rPr>
              <w:t xml:space="preserve">YOUR REVIEW CHECKLIST</w:t>
            </w:r>
          </w:p>
          <w:p>
            <w:pPr>
              <w:spacing w:after="40"/>
            </w:pPr>
            <w:r>
              <w:rPr>
                <w:sz w:val="20"/>
                <w:szCs w:val="20"/>
              </w:rPr>
              <w:t xml:space="preserve">☐  Every reported number is treatment-vs-control, not raw take-up (I4).</w:t>
            </w:r>
          </w:p>
          <w:p>
            <w:pPr>
              <w:spacing w:after="40"/>
            </w:pPr>
            <w:r>
              <w:rPr>
                <w:sz w:val="20"/>
                <w:szCs w:val="20"/>
              </w:rPr>
              <w:t xml:space="preserve">☐  The verdict follows the registered rule mechanically (I3).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2100"/>
        <w:gridCol w:w="1826"/>
      </w:tblGrid>
      <w:tr>
        <w:tc>
          <w:tcPr>
            <w:tcW w:type="dxa" w:w="21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Metric</w:t>
            </w:r>
          </w:p>
        </w:tc>
        <w:tc>
          <w:tcPr>
            <w:tcW w:type="dxa" w:w="15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Treatment</w:t>
            </w:r>
          </w:p>
        </w:tc>
        <w:tc>
          <w:tcPr>
            <w:tcW w:type="dxa" w:w="15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Control</w:t>
            </w:r>
          </w:p>
        </w:tc>
        <w:tc>
          <w:tcPr>
            <w:tcW w:type="dxa" w:w="21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Incremental (CI)</w:t>
            </w:r>
          </w:p>
        </w:tc>
        <w:tc>
          <w:tcPr>
            <w:tcW w:type="dxa" w:w="1826"/>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Verdict vs registration</w:t>
            </w:r>
          </w:p>
        </w:tc>
      </w:tr>
      <w:tr>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8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8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1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8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bl>
    <w:p>
      <w:pPr>
        <w:pStyle w:val="Heading2"/>
        <w:spacing w:after="140" w:before="280"/>
      </w:pPr>
      <w:r>
        <w:t xml:space="preserve">Step 8 — Calibrate, bank the parameters, final lint</w:t>
      </w:r>
    </w:p>
    <w:p>
      <w:pPr>
        <w:spacing w:after="120"/>
      </w:pPr>
      <w:r>
        <w:t xml:space="preserve">The test's most valuable output is not the verdict — it is the corrected parameters, which transfer to every future incentive decision.</w:t>
      </w:r>
    </w:p>
    <w:p>
      <w:pPr>
        <w:pStyle w:val="Heading3"/>
        <w:spacing w:after="100" w:before="200"/>
      </w:pPr>
      <w:r>
        <w:t xml:space="preserve">Copilot procedure — do the steps in sequence</w:t>
      </w:r>
    </w:p>
    <w:p>
      <w:pPr>
        <w:pStyle w:val="ListParagraph"/>
        <w:numPr>
          <w:ilvl w:val="0"/>
          <w:numId w:val="10"/>
        </w:numPr>
        <w:spacing w:after="80"/>
      </w:pPr>
      <w:r>
        <w:t xml:space="preserve">Compare observed take-up against the B-predicted band → corrected B for this offer class.</w:t>
      </w:r>
    </w:p>
    <w:p>
      <w:pPr>
        <w:pStyle w:val="ListParagraph"/>
        <w:numPr>
          <w:ilvl w:val="0"/>
          <w:numId w:val="10"/>
        </w:numPr>
        <w:spacing w:after="80"/>
      </w:pPr>
      <w:r>
        <w:t xml:space="preserve">Compare control behaviour against assumed deadweight → corrected deadweight fraction.</w:t>
      </w:r>
    </w:p>
    <w:p>
      <w:pPr>
        <w:pStyle w:val="ListParagraph"/>
        <w:numPr>
          <w:ilvl w:val="0"/>
          <w:numId w:val="10"/>
        </w:numPr>
        <w:spacing w:after="80"/>
      </w:pPr>
      <w:r>
        <w:t xml:space="preserve">If testing several mechanics: compare the observed ordering against the predicted ordering; a deviation means a score is wrong — find it, correct it, re-rank before scaling spend (I12).</w:t>
      </w:r>
    </w:p>
    <w:p>
      <w:pPr>
        <w:pStyle w:val="ListParagraph"/>
        <w:numPr>
          <w:ilvl w:val="0"/>
          <w:numId w:val="10"/>
        </w:numPr>
        <w:spacing w:after="80"/>
      </w:pPr>
      <w:r>
        <w:t xml:space="preserve">Bank the corrected parameters in a register the organisation reuses. This is the capability the budget actually bought.</w:t>
      </w:r>
    </w:p>
    <w:p>
      <w:pPr>
        <w:pStyle w:val="ListParagraph"/>
        <w:numPr>
          <w:ilvl w:val="0"/>
          <w:numId w:val="10"/>
        </w:numPr>
        <w:spacing w:after="80"/>
      </w:pPr>
      <w:r>
        <w:t xml:space="preserve">Run the final lint in a NEW chat: attach the standard and the filled workbook; "Run lint rules I1-I12. Report each failure by rule number. Report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F1F3F5" w:val="clear"/>
            <w:tcMar>
              <w:top w:type="dxa" w:w="140"/>
              <w:left w:type="dxa" w:w="180"/>
              <w:bottom w:type="dxa" w:w="140"/>
              <w:right w:type="dxa" w:w="180"/>
            </w:tcMar>
          </w:tcPr>
          <w:p>
            <w:pPr>
              <w:spacing w:after="100"/>
            </w:pPr>
            <w:r>
              <w:rPr>
                <w:b/>
                <w:bCs/>
                <w:sz w:val="20"/>
                <w:szCs w:val="20"/>
              </w:rPr>
              <w:t xml:space="preserve">PROMPT FOR COPILOT — copy</w:t>
            </w:r>
          </w:p>
          <w:p>
            <w:pPr>
              <w:spacing w:after="40"/>
            </w:pPr>
            <w:r>
              <w:rPr>
                <w:rFonts w:ascii="Consolas" w:cs="Consolas" w:eastAsia="Consolas" w:hAnsi="Consolas"/>
                <w:sz w:val="20"/>
                <w:szCs w:val="20"/>
              </w:rPr>
              <w:t xml:space="preserve">[paste session state header]</w:t>
            </w:r>
          </w:p>
          <w:p>
            <w:pPr>
              <w:spacing w:after="40"/>
            </w:pPr>
            <w:r>
              <w:rPr>
                <w:rFonts w:ascii="Consolas" w:cs="Consolas" w:eastAsia="Consolas" w:hAnsi="Consolas"/>
                <w:sz w:val="20"/>
                <w:szCs w:val="20"/>
              </w:rPr>
              <w:t xml:space="preserve">STEP 8. Calibrate: corrected B (observed vs predicted take-up), corrected deadweight (control vs assumed), ordering check across mechanics if applicable. Write the banked-parameter register entry. Then list what the next test should measure that this one could not.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8C4" w:sz="4"/>
              <w:left w:val="single" w:color="B0B8C4" w:sz="4"/>
              <w:bottom w:val="single" w:color="B0B8C4" w:sz="4"/>
              <w:right w:val="single" w:color="B0B8C4" w:sz="4"/>
            </w:tcBorders>
            <w:shd w:fill="E8EEF8" w:val="clear"/>
            <w:tcMar>
              <w:top w:type="dxa" w:w="140"/>
              <w:left w:type="dxa" w:w="180"/>
              <w:bottom w:type="dxa" w:w="140"/>
              <w:right w:type="dxa" w:w="180"/>
            </w:tcMar>
          </w:tcPr>
          <w:p>
            <w:pPr>
              <w:spacing w:after="100"/>
            </w:pPr>
            <w:r>
              <w:rPr>
                <w:b/>
                <w:bCs/>
                <w:sz w:val="20"/>
                <w:szCs w:val="20"/>
              </w:rPr>
              <w:t xml:space="preserve">YOUR REVIEW CHECKLIST</w:t>
            </w:r>
          </w:p>
          <w:p>
            <w:pPr>
              <w:spacing w:after="40"/>
            </w:pPr>
            <w:r>
              <w:rPr>
                <w:sz w:val="20"/>
                <w:szCs w:val="20"/>
              </w:rPr>
              <w:t xml:space="preserve">☐  Corrected B and deadweight are written down, not just noted (I12).</w:t>
            </w:r>
          </w:p>
          <w:p>
            <w:pPr>
              <w:spacing w:after="40"/>
            </w:pPr>
            <w:r>
              <w:rPr>
                <w:sz w:val="20"/>
                <w:szCs w:val="20"/>
              </w:rPr>
              <w:t xml:space="preserve">☐  Any ordering deviation is resolved before scale-up (I12).</w:t>
            </w:r>
          </w:p>
          <w:p>
            <w:pPr>
              <w:spacing w:after="40"/>
            </w:pPr>
            <w:r>
              <w:rPr>
                <w:sz w:val="20"/>
                <w:szCs w:val="20"/>
              </w:rPr>
              <w:t xml:space="preserve">☐  The fresh-chat lint has run (I1-I12).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2200"/>
        <w:gridCol w:w="2026"/>
      </w:tblGrid>
      <w:tr>
        <w:tc>
          <w:tcPr>
            <w:tcW w:type="dxa" w:w="18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Parameter</w:t>
            </w:r>
          </w:p>
        </w:tc>
        <w:tc>
          <w:tcPr>
            <w:tcW w:type="dxa" w:w="15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Predicted</w:t>
            </w:r>
          </w:p>
        </w:tc>
        <w:tc>
          <w:tcPr>
            <w:tcW w:type="dxa" w:w="15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Observed</w:t>
            </w:r>
          </w:p>
        </w:tc>
        <w:tc>
          <w:tcPr>
            <w:tcW w:type="dxa" w:w="2200"/>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Corrected value (banked)</w:t>
            </w:r>
          </w:p>
        </w:tc>
        <w:tc>
          <w:tcPr>
            <w:tcW w:type="dxa" w:w="2026"/>
            <w:tcBorders>
              <w:top w:val="single" w:color="B0B8C4" w:sz="4"/>
              <w:left w:val="single" w:color="B0B8C4" w:sz="4"/>
              <w:bottom w:val="single" w:color="B0B8C4" w:sz="4"/>
              <w:right w:val="single" w:color="B0B8C4" w:sz="4"/>
            </w:tcBorders>
            <w:shd w:fill="DDE1E7" w:val="clear"/>
            <w:tcMar>
              <w:top w:type="dxa" w:w="60"/>
              <w:left w:type="dxa" w:w="100"/>
              <w:bottom w:type="dxa" w:w="60"/>
              <w:right w:type="dxa" w:w="100"/>
            </w:tcMar>
          </w:tcPr>
          <w:p>
            <w:r>
              <w:rPr>
                <w:b/>
                <w:bCs/>
                <w:i w:val="false"/>
                <w:iCs w:val="false"/>
                <w:sz w:val="20"/>
                <w:szCs w:val="20"/>
              </w:rPr>
              <w:t xml:space="preserve">Applies to offer class</w:t>
            </w:r>
          </w:p>
        </w:tc>
      </w:tr>
      <w:tr>
        <w:tc>
          <w:tcPr>
            <w:tcW w:type="dxa" w:w="18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2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0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18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2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0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r>
        <w:tc>
          <w:tcPr>
            <w:tcW w:type="dxa" w:w="18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15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200"/>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c>
          <w:tcPr>
            <w:tcW w:type="dxa" w:w="2026"/>
            <w:tcBorders>
              <w:top w:val="single" w:color="B0B8C4" w:sz="4"/>
              <w:left w:val="single" w:color="B0B8C4" w:sz="4"/>
              <w:bottom w:val="single" w:color="B0B8C4" w:sz="4"/>
              <w:right w:val="single" w:color="B0B8C4" w:sz="4"/>
            </w:tcBorders>
            <w:tcMar>
              <w:top w:type="dxa" w:w="60"/>
              <w:left w:type="dxa" w:w="100"/>
              <w:bottom w:type="dxa" w:w="60"/>
              <w:right w:type="dxa" w:w="100"/>
            </w:tcMar>
          </w:tcPr>
          <w:p>
            <w:r>
              <w:rPr>
                <w:b w:val="false"/>
                <w:bCs w:val="false"/>
                <w:i w:val="false"/>
                <w:iCs w:val="false"/>
                <w:sz w:val="20"/>
                <w:szCs w:val="20"/>
              </w:rPr>
              <w:t xml:space="preserve"/>
            </w:r>
          </w:p>
        </w:tc>
      </w:tr>
    </w:tbl>
    <w:p>
      <w:pPr>
        <w:spacing w:after="80"/>
      </w:pPr>
    </w:p>
    <w:p>
      <w:pPr>
        <w:spacing w:after="120"/>
      </w:pPr>
      <w:r>
        <w:rPr>
          <w:i/>
          <w:iCs/>
          <w:color w:val="718096"/>
          <w:sz w:val="18"/>
          <w:szCs w:val="18"/>
        </w:rPr>
        <w:t xml:space="preserve">© Tough Minds, Tender Hearts. All rights reserved. Companion to the Incentive Testing standard v1.0 and the OCV standard v1.3. This document may be read and executed by AI assistants; republication requires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2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abstractNum w:abstractNumId="10"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0F1923"/>
      <w:sz w:val="52"/>
      <w:szCs w:val="52"/>
    </w:rPr>
  </w:style>
  <w:style w:type="paragraph" w:styleId="Heading1">
    <w:name w:val="Heading 1"/>
    <w:basedOn w:val="Normal"/>
    <w:next w:val="Normal"/>
    <w:qFormat/>
    <w:rPr>
      <w:b/>
      <w:bCs/>
      <w:color w:val="0F1923"/>
      <w:sz w:val="30"/>
      <w:szCs w:val="30"/>
    </w:rPr>
  </w:style>
  <w:style w:type="paragraph" w:styleId="Heading2">
    <w:name w:val="Heading 2"/>
    <w:basedOn w:val="Normal"/>
    <w:next w:val="Normal"/>
    <w:qFormat/>
    <w:rPr>
      <w:b/>
      <w:bCs/>
      <w:color w:val="1F4FA8"/>
      <w:sz w:val="26"/>
      <w:szCs w:val="26"/>
    </w:rPr>
  </w:style>
  <w:style w:type="paragraph" w:styleId="Heading3">
    <w:name w:val="Heading 3"/>
    <w:basedOn w:val="Normal"/>
    <w:next w:val="Normal"/>
    <w:qFormat/>
    <w:rPr>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2026-08-21T16:06:41.580Z</dcterms:created>
  <dcterms:modified xsi:type="dcterms:W3CDTF">2026-08-21T16:06:41.585Z</dcterms:modified>
</cp:coreProperties>
</file>

<file path=docProps/custom.xml><?xml version="1.0" encoding="utf-8"?>
<Properties xmlns="http://schemas.openxmlformats.org/officeDocument/2006/custom-properties" xmlns:vt="http://schemas.openxmlformats.org/officeDocument/2006/docPropsVTypes"/>
</file>