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87tykp1u0l36"/>
      <w:bookmarkEnd w:id="0"/>
      <w:r>
        <w:rPr>
          <w:rFonts w:eastAsia="Google Sans" w:cs="Google Sans" w:ascii="Google Sans" w:hAnsi="Google Sans"/>
        </w:rPr>
        <w:t>Controls and compliance checklist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To complete the controls assessment checklist, refer to the information provided in the </w:t>
      </w:r>
      <w:r>
        <w:fldChar w:fldCharType="begin"/>
      </w:r>
      <w:r>
        <w:rPr>
          <w:rStyle w:val="ListLabel181"/>
          <w:sz w:val="24"/>
          <w:u w:val="single"/>
          <w:szCs w:val="24"/>
          <w:rFonts w:eastAsia="Google Sans" w:cs="Google Sans" w:ascii="Google Sans" w:hAnsi="Google Sans"/>
          <w:color w:val="1155CC"/>
        </w:rPr>
        <w:instrText xml:space="preserve"> HYPERLINK "https://docs.google.com/document/d/1s2u_RuhRAI40JSh-eZHvaFsV1ZMxcNSWXifHDTOsgFc/template/preview" \l "heading=h.evidx83t54sc"</w:instrText>
      </w:r>
      <w:r>
        <w:rPr>
          <w:rStyle w:val="ListLabel181"/>
          <w:sz w:val="24"/>
          <w:u w:val="single"/>
          <w:szCs w:val="24"/>
          <w:rFonts w:eastAsia="Google Sans" w:cs="Google Sans" w:ascii="Google Sans" w:hAnsi="Google Sans"/>
          <w:color w:val="1155CC"/>
        </w:rPr>
        <w:fldChar w:fldCharType="separate"/>
      </w:r>
      <w:r>
        <w:rPr>
          <w:rStyle w:val="ListLabel181"/>
          <w:rFonts w:eastAsia="Google Sans" w:cs="Google Sans" w:ascii="Google Sans" w:hAnsi="Google Sans"/>
          <w:color w:val="1155CC"/>
          <w:sz w:val="24"/>
          <w:szCs w:val="24"/>
          <w:u w:val="single"/>
        </w:rPr>
        <w:t>scope, goals, and risk assessment report</w:t>
      </w:r>
      <w:r>
        <w:rPr>
          <w:rStyle w:val="ListLabel181"/>
          <w:sz w:val="24"/>
          <w:u w:val="single"/>
          <w:szCs w:val="24"/>
          <w:rFonts w:eastAsia="Google Sans" w:cs="Google Sans" w:ascii="Google Sans" w:hAnsi="Google Sans"/>
          <w:color w:val="1155CC"/>
        </w:rPr>
        <w:fldChar w:fldCharType="end"/>
      </w:r>
      <w:r>
        <w:rPr>
          <w:rFonts w:eastAsia="Google Sans" w:cs="Google Sans" w:ascii="Google Sans" w:hAnsi="Google Sans"/>
          <w:sz w:val="24"/>
          <w:szCs w:val="24"/>
        </w:rPr>
        <w:t xml:space="preserve">. For more details about each control, including the type and purpose, refer to the </w:t>
      </w:r>
      <w:hyperlink r:id="rId2">
        <w:r>
          <w:rPr>
            <w:rStyle w:val="ListLabel181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 document.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Then, select “yes” or “no” to answer the question: </w:t>
      </w:r>
      <w:r>
        <w:rPr>
          <w:rFonts w:eastAsia="Google Sans" w:cs="Google Sans" w:ascii="Google Sans" w:hAnsi="Google Sans"/>
          <w:i/>
          <w:sz w:val="24"/>
          <w:szCs w:val="24"/>
        </w:rPr>
        <w:t xml:space="preserve">Does Botium Toys currently have this control in place?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z w:val="26"/>
          <w:szCs w:val="26"/>
        </w:rPr>
      </w:pPr>
      <w:r>
        <w:rPr>
          <w:rFonts w:eastAsia="Google Sans" w:cs="Google Sans" w:ascii="Google Sans" w:hAnsi="Google Sans"/>
          <w:b/>
          <w:sz w:val="24"/>
          <w:szCs w:val="24"/>
        </w:rPr>
        <w:t>Controls assessment checklist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Control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Least Privilege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Disaster recovery plans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policies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Separation of duties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Firewall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Intrusion detection system (IDS)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Backups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Antivirus software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Encryption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Password management system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Locks (offices, storefront, warehouse)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Closed-circuit television (CCTV) surveillance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To complete the compliance checklist, refer to the information provided in the </w:t>
      </w:r>
      <w:hyperlink r:id="rId3">
        <w:r>
          <w:rPr>
            <w:rStyle w:val="ListLabel181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. For more details about each compliance regulation, review the </w:t>
      </w:r>
      <w:hyperlink r:id="rId4">
        <w:r>
          <w:rPr>
            <w:rStyle w:val="ListLabel181"/>
            <w:rFonts w:eastAsia="Google Sans" w:cs="Google Sans" w:ascii="Google Sans" w:hAnsi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eastAsia="Google Sans" w:cs="Google Sans" w:ascii="Google Sans" w:hAnsi="Google Sans"/>
          <w:sz w:val="24"/>
          <w:szCs w:val="24"/>
        </w:rPr>
        <w:t xml:space="preserve"> reading.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i/>
          <w:i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Then, select “yes” or “no” to answer the question: </w:t>
      </w:r>
      <w:r>
        <w:rPr>
          <w:rFonts w:eastAsia="Google Sans" w:cs="Google Sans" w:ascii="Google Sans" w:hAnsi="Google Sans"/>
          <w:i/>
          <w:sz w:val="24"/>
          <w:szCs w:val="24"/>
        </w:rPr>
        <w:t>Does Botium Toys currently adhere to this compliance best practice?</w:t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sz w:val="24"/>
          <w:szCs w:val="24"/>
        </w:rPr>
        <w:t>Compliance checklist</w:t>
      </w:r>
    </w:p>
    <w:p>
      <w:pPr>
        <w:pStyle w:val="Normal1"/>
        <w:rPr>
          <w:rFonts w:ascii="Google Sans" w:hAnsi="Google Sans" w:eastAsia="Google Sans" w:cs="Google Sans"/>
          <w:b/>
          <w:sz w:val="24"/>
          <w:szCs w:val="24"/>
        </w:rPr>
      </w:pPr>
      <w:r>
        <w:rPr>
          <w:rFonts w:eastAsia="Google Sans" w:cs="Google Sans" w:ascii="Google Sans" w:hAnsi="Google Sans"/>
          <w:b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Payment Card Industry Data Security Standard (PCI DSS)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  <w:highlight w:val="yellow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eastAsia="Google Sans" w:cs="Google Sans" w:ascii="Google Sans" w:hAnsi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Adopt secure password management policies.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  <w:u w:val="single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General Data Protection Regulation (GDPR)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E.U. customers’ data is kept private/secured.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Ensure data is properly classified and inventoried.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  <w:u w:val="single"/>
        </w:rPr>
        <w:t>System and Organizations Controls (SOC type 1, SOC type 2)</w:t>
      </w:r>
      <w:r>
        <w:rPr>
          <w:rFonts w:eastAsia="Google Sans" w:cs="Google Sans" w:ascii="Google Sans" w:hAnsi="Google Sans"/>
          <w:sz w:val="24"/>
          <w:szCs w:val="24"/>
        </w:rPr>
        <w:t xml:space="preserve">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 xml:space="preserve">    </w:t>
            </w: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User access policies are established.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Sensitive data (PII/SPII) is confidential/private.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 xml:space="preserve">This section is </w:t>
      </w:r>
      <w:r>
        <w:rPr>
          <w:rFonts w:eastAsia="Google Sans" w:cs="Google Sans" w:ascii="Google Sans" w:hAnsi="Google Sans"/>
          <w:i/>
          <w:sz w:val="24"/>
          <w:szCs w:val="24"/>
        </w:rPr>
        <w:t>optional</w:t>
      </w:r>
      <w:r>
        <w:rPr>
          <w:rFonts w:eastAsia="Google Sans" w:cs="Google Sans" w:ascii="Google Sans" w:hAnsi="Google Sans"/>
          <w:sz w:val="24"/>
          <w:szCs w:val="24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>
      <w:pPr>
        <w:pStyle w:val="Normal1"/>
        <w:spacing w:lineRule="auto" w:line="360" w:before="0" w:after="200"/>
        <w:rPr/>
      </w:pPr>
      <w:r>
        <w:rPr>
          <w:rFonts w:eastAsia="Google Sans" w:cs="Google Sans" w:ascii="Google Sans" w:hAnsi="Google Sans"/>
          <w:b/>
          <w:sz w:val="24"/>
          <w:szCs w:val="24"/>
        </w:rPr>
        <w:t xml:space="preserve">Recommendations (optional): </w:t>
      </w:r>
      <w:r>
        <w:rPr>
          <w:rFonts w:eastAsia="Google Sans" w:cs="Google Sans" w:ascii="Google Sans" w:hAnsi="Google Sans"/>
          <w:sz w:val="24"/>
          <w:szCs w:val="24"/>
        </w:rPr>
        <w:t>In this section, provide recommendations, related to controls and/or compliance needs, that your IT manager could communicate to stakeholders to reduce risks to assets and improve Botium Toys’ security posture.</w:t>
      </w:r>
    </w:p>
    <w:p>
      <w:pPr>
        <w:pStyle w:val="Normal1"/>
        <w:rPr/>
      </w:pPr>
      <w:r>
        <w:rPr/>
        <w:t xml:space="preserve">Biotum Toys would nee to implement controls such as Least Privilege, separation of duties, </w:t>
      </w:r>
      <w:r>
        <w:rPr/>
        <w:t>and encription. The company also needs to properly classify assets, to identify additional controls that may need to be implemented to improve their security.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swiss"/>
    <w:pitch w:val="variable"/>
  </w:font>
  <w:font w:name="Google San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Sarasa Mono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btezuy_bMKWoK8pd97ZuzdWB9y6au_zfkrpkfVf8ktI/template/preview" TargetMode="External"/><Relationship Id="rId3" Type="http://schemas.openxmlformats.org/officeDocument/2006/relationships/hyperlink" Target="https://docs.google.com/document/d/1s2u_RuhRAI40JSh-eZHvaFsV1ZMxcNSWXifHDTOsgFc/template/preview" TargetMode="External"/><Relationship Id="rId4" Type="http://schemas.openxmlformats.org/officeDocument/2006/relationships/hyperlink" Target="https://www.coursera.org/learn/foundations-of-cybersecurity/supplement/xu4pr/controls-frameworks-and-complianc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LibreOffice/24.2.3.2$Linux_X86_64 LibreOffice_project/420$Build-2</Application>
  <AppVersion>15.0000</AppVersion>
  <Pages>3</Pages>
  <Words>481</Words>
  <Characters>2647</Characters>
  <CharactersWithSpaces>3047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2024-05-17T14:15:26Z</dcterms:modified>
  <cp:revision>1</cp:revision>
  <dc:subject/>
  <dc:title/>
</cp:coreProperties>
</file>