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1.5 - Instructor Notes</w:t>
      </w:r>
    </w:p>
    <w:p>
      <w:pPr>
        <w:spacing w:after="240"/>
      </w:pPr>
      <w:r>
        <w:rPr>
          <w:i/>
          <w:color w:val="6A6A6A"/>
          <w:sz w:val="20"/>
        </w:rPr>
        <w:t>Tour your Pre-Loaded MTA Data | ServicePulse 360 Workshop v0.7 (revision 3) | ~5 min of participant time | ~10 min of instructor time if you present every teaching moment</w:t>
      </w:r>
    </w:p>
    <w:p>
      <w:pPr>
        <w:spacing w:before="280" w:after="80"/>
      </w:pPr>
      <w:r>
        <w:rPr>
          <w:b/>
          <w:color w:val="1F4E79"/>
          <w:sz w:val="28"/>
        </w:rPr>
        <w:t>Why this mini-lab exists</w:t>
      </w:r>
    </w:p>
    <w:p>
      <w:r>
        <w:t>Lab 1 teaches Case customization from a blank starting point. The downstream labs (2, 3, 7) and the Executive Scenario Simulation benefit from realistic sample data (10 MTA Cases, 4 agency Accounts, 4 Dispatcher Contacts). Originally Lab 1.5 taught participants to load this data via the Data Import Wizard. We discovered during dry-run testing that the Pronto Agentforce Reference template HIDES the Cases tile in the Data Import Wizard, which made the lab impossible to run as designed. Rather than ask participants to install Data Loader, we moved the data load to the pre-workshop deploy via sf data tree import. This mini-lab is now a tour of what's already there.</w:t>
      </w:r>
    </w:p>
    <w:p>
      <w:pPr>
        <w:spacing w:before="280" w:after="80"/>
      </w:pPr>
      <w:r>
        <w:rPr>
          <w:b/>
          <w:color w:val="1F4E79"/>
          <w:sz w:val="28"/>
        </w:rPr>
        <w:t>Positioning before the mini-lab</w:t>
      </w:r>
    </w:p>
    <w:p>
      <w:pPr>
        <w:spacing w:before="80" w:after="80"/>
        <w:ind w:left="227"/>
      </w:pPr>
      <w:r>
        <w:rPr>
          <w:b/>
          <w:color w:val="2E75B6"/>
        </w:rPr>
        <w:t xml:space="preserve">Teaching moment: </w:t>
      </w:r>
      <w:r>
        <w:t>'In Lab 1 you built Case extensions and manually created one Golden Case. Your org also arrived with 4 agency Accounts, 4 Operations Dispatcher Contacts, and 10 realistic seed Cases pre-loaded by me before you got here. The rest of today and tomorrow benefits from this volume: related lists populate, reports have shape, dashboards show patterns.'</w:t>
      </w:r>
    </w:p>
    <w:p>
      <w:pPr>
        <w:spacing w:before="80" w:after="80"/>
        <w:ind w:left="227"/>
      </w:pPr>
      <w:r>
        <w:rPr>
          <w:b/>
          <w:color w:val="2E75B6"/>
        </w:rPr>
        <w:t xml:space="preserve">Teaching moment (admin tool choice): </w:t>
      </w:r>
      <w:r>
        <w:t>'Admins choose between bulk-load tools based on scale and complexity: Data Import Wizard (up to 50k records, declarative, in Setup, but it doesn't support every object in every edition), Data Loader (desktop tool, up to 5M records, requires install), and sf data tree import or a MuleSoft integration (CLI/scripted, portable across orgs, no install). In this org, I used sf data tree import before the workshop started, one command loaded all 18 records in about 10 seconds. In production you'd probably use a mix: Data Loader for one-time migrations, MuleSoft for ongoing integrations.'</w:t>
      </w:r>
    </w:p>
    <w:p>
      <w:pPr>
        <w:spacing w:before="280" w:after="80"/>
      </w:pPr>
      <w:r>
        <w:rPr>
          <w:b/>
          <w:color w:val="1F4E79"/>
          <w:sz w:val="28"/>
        </w:rPr>
        <w:t>Pacing</w:t>
      </w:r>
    </w:p>
    <w:p>
      <w:pPr>
        <w:pStyle w:val="ListBullet"/>
        <w:spacing w:after="40"/>
      </w:pPr>
      <w:r>
        <w:t>Part 1 (Accounts): 1 min</w:t>
      </w:r>
    </w:p>
    <w:p>
      <w:pPr>
        <w:pStyle w:val="ListBullet"/>
        <w:spacing w:after="40"/>
      </w:pPr>
      <w:r>
        <w:t>Part 2 (Contacts): 1 min</w:t>
      </w:r>
    </w:p>
    <w:p>
      <w:pPr>
        <w:pStyle w:val="ListBullet"/>
        <w:spacing w:after="40"/>
      </w:pPr>
      <w:r>
        <w:t>Part 3 (Cases): 2 min</w:t>
      </w:r>
    </w:p>
    <w:p>
      <w:pPr>
        <w:pStyle w:val="ListBullet"/>
        <w:spacing w:after="40"/>
      </w:pPr>
      <w:r>
        <w:t>Part 4 (what's next): 1 min</w:t>
      </w:r>
    </w:p>
    <w:p>
      <w:pPr>
        <w:pStyle w:val="ListBullet"/>
        <w:spacing w:after="40"/>
      </w:pPr>
      <w:r>
        <w:t>Total: 5 min</w:t>
      </w:r>
    </w:p>
    <w:p>
      <w:pPr>
        <w:spacing w:before="280" w:after="80"/>
      </w:pPr>
      <w:r>
        <w:rPr>
          <w:b/>
          <w:color w:val="1F4E79"/>
          <w:sz w:val="28"/>
        </w:rPr>
        <w:t>Part 1 - Tour the Accounts</w:t>
      </w:r>
    </w:p>
    <w:p>
      <w:pPr>
        <w:spacing w:before="80" w:after="80"/>
        <w:ind w:left="227"/>
      </w:pPr>
      <w:r>
        <w:rPr>
          <w:b/>
          <w:color w:val="2E75B6"/>
        </w:rPr>
        <w:t xml:space="preserve">Teaching moment: </w:t>
      </w:r>
      <w:r>
        <w:t>'The 4 agency Accounts anchor your workshop data model. In Lab 1 Part 10, your Golden Case already references MTA New York City Transit. The other 3 agency Accounts (LIRR, MNR, B&amp;T) exist for the seed Cases to link to and for Lab 3's Asset hierarchy work in Day 2.'</w:t>
      </w:r>
    </w:p>
    <w:p>
      <w:pPr>
        <w:spacing w:before="280" w:after="80"/>
      </w:pPr>
      <w:r>
        <w:rPr>
          <w:b/>
          <w:color w:val="1F4E79"/>
          <w:sz w:val="28"/>
        </w:rPr>
        <w:t>Part 2 - Tour the Contacts</w:t>
      </w:r>
    </w:p>
    <w:p>
      <w:pPr>
        <w:spacing w:before="80" w:after="80"/>
        <w:ind w:left="227"/>
      </w:pPr>
      <w:r>
        <w:rPr>
          <w:b/>
          <w:color w:val="2E75B6"/>
        </w:rPr>
        <w:t xml:space="preserve">Teaching moment: </w:t>
      </w:r>
      <w:r>
        <w:t>'Each Contact is tied to its agency Account via a lookup relationship. This matters for Lab 2, where you'll surface the Contact's related Cases on the Dynamic Forms canvas. Marcus Chen (NYCT dispatcher) is the Contact on most NYCT Cases; Priya Patel on LIRR; Elena Rodriguez on MNR; James O'Brien on B&amp;T.'</w:t>
      </w:r>
    </w:p>
    <w:p>
      <w:pPr>
        <w:spacing w:before="280" w:after="80"/>
      </w:pPr>
      <w:r>
        <w:rPr>
          <w:b/>
          <w:color w:val="1F4E79"/>
          <w:sz w:val="28"/>
        </w:rPr>
        <w:t>Part 3 - Tour the Cases</w:t>
      </w:r>
    </w:p>
    <w:p>
      <w:pPr>
        <w:spacing w:before="80" w:after="80"/>
        <w:ind w:left="227"/>
      </w:pPr>
      <w:r>
        <w:rPr>
          <w:b/>
          <w:color w:val="2E75B6"/>
        </w:rPr>
        <w:t xml:space="preserve">Teaching moment (Record Type = Master): </w:t>
      </w:r>
      <w:r>
        <w:t>'Notice the Case Record Type column shows a dash for all 10 seed Cases, but shows NYCT for your Golden Case. The seed Cases loaded BEFORE Lab 1, which is when you built the agency Record Types. So the pre-load used Master (the default record type that always exists). This is realistic: in production, legacy data loaded before a Record Type reorg has a null Record Type until someone backfills it. Options for backfilling: a one-time Flow, an Apex script, or a Data Loader update. The workshop doesn't do that backfill because the seed Cases don't need agency Record Types for downstream labs to work.'</w:t>
      </w:r>
    </w:p>
    <w:p>
      <w:pPr>
        <w:spacing w:before="80" w:after="80"/>
        <w:ind w:left="227"/>
      </w:pPr>
      <w:r>
        <w:rPr>
          <w:b/>
          <w:color w:val="2E75B6"/>
        </w:rPr>
        <w:t xml:space="preserve">Listen for: </w:t>
      </w:r>
      <w:r>
        <w:t>'Why don't the seed Cases have agency Record Types?' Answer above. Follow-up if they want more depth: 'The pre-workshop deploy uses sf data tree import, which lets you specify a Record Type by DeveloperName. We left it blank because the agency Record Types don't exist in the org at pre-deploy time (participants build them in Lab 1 Part 5). We could have reversed the sequence: pre-deploy Record Types too, but that would short-circuit Lab 1's Record Type teaching moment.'</w:t>
      </w:r>
    </w:p>
    <w:p>
      <w:pPr>
        <w:spacing w:before="80" w:after="80"/>
        <w:ind w:left="227"/>
      </w:pPr>
      <w:r>
        <w:rPr>
          <w:b/>
          <w:color w:val="B45F06"/>
        </w:rPr>
        <w:t xml:space="preserve">Common error: </w:t>
      </w:r>
      <w:r>
        <w:t>Participant can't find the Cases tab. Cause: Pronto template orgs don't put Cases in the default nav. Fix: App Launcher &gt; type 'Cases' &gt; click.</w:t>
      </w:r>
    </w:p>
    <w:p>
      <w:pPr>
        <w:spacing w:before="280" w:after="80"/>
      </w:pPr>
      <w:r>
        <w:rPr>
          <w:b/>
          <w:color w:val="1F4E79"/>
          <w:sz w:val="28"/>
        </w:rPr>
        <w:t>Part 4 - What's next</w:t>
      </w:r>
    </w:p>
    <w:p>
      <w:pPr>
        <w:pStyle w:val="ListBullet"/>
        <w:spacing w:after="40"/>
      </w:pPr>
      <w:r>
        <w:t>Lab 2 (Dynamic Forms): visibility rule tests use Golden Case; related-list components surface seed Cases on the Account.</w:t>
      </w:r>
    </w:p>
    <w:p>
      <w:pPr>
        <w:pStyle w:val="ListBullet"/>
        <w:spacing w:after="40"/>
      </w:pPr>
      <w:r>
        <w:t>Lab 3 (Asset Hierarchy): link one Case to an Asset. Having 11 Cases makes the Case lookup picker realistic.</w:t>
      </w:r>
    </w:p>
    <w:p>
      <w:pPr>
        <w:pStyle w:val="ListBullet"/>
        <w:spacing w:after="40"/>
      </w:pPr>
      <w:r>
        <w:t>Lab 5 (Service Disruption): build Service_Disruption__c + Record Types. Seed Cases get a Service Disruption lookup.</w:t>
      </w:r>
    </w:p>
    <w:p>
      <w:pPr>
        <w:pStyle w:val="ListBullet"/>
        <w:spacing w:after="40"/>
      </w:pPr>
      <w:r>
        <w:t>Lab 6 (Platform Showcase): Reports group Service Disruptions by agency. Dashboards visualize the agency distribution.</w:t>
      </w:r>
    </w:p>
    <w:p>
      <w:pPr>
        <w:pStyle w:val="ListBullet"/>
        <w:spacing w:after="40"/>
      </w:pPr>
      <w:r>
        <w:t>Lab 7 (Agentforce): the Dispatcher Assistant agent has real Cases to classify and reason about.</w:t>
      </w:r>
    </w:p>
    <w:p>
      <w:pPr>
        <w:pStyle w:val="ListBullet"/>
        <w:spacing w:after="40"/>
      </w:pPr>
      <w:r>
        <w:t>Executive Scenario Simulation (Day 2 wrap): Inject 2 ('an existing MNR Case tied to the Hudson Line') uses one of the seeded MNR Cases.</w:t>
      </w:r>
    </w:p>
    <w:p>
      <w:pPr>
        <w:spacing w:before="280" w:after="80"/>
      </w:pPr>
      <w:r>
        <w:rPr>
          <w:b/>
          <w:color w:val="1F4E79"/>
          <w:sz w:val="28"/>
        </w:rPr>
        <w:t>Troubleshooting missing records</w:t>
      </w:r>
    </w:p>
    <w:p>
      <w:pPr>
        <w:spacing w:before="80" w:after="80"/>
        <w:ind w:left="227"/>
      </w:pPr>
      <w:r>
        <w:rPr>
          <w:b/>
          <w:color w:val="B45F06"/>
        </w:rPr>
        <w:t xml:space="preserve">Watch out: </w:t>
      </w:r>
      <w:r>
        <w:t>If a participant's org is missing some or all of the sample data, the pre-workshop deploy did not complete cleanly on their org. Fastest fix: rerun the 01b-mta-sample-data loader against their org via the Execution Runner (or ./01b-mta-sample-data/scripts/load-sample-data.sh &lt;alias&gt; locally). ~10 seconds. Idempotent: if partial state is present, the script errors (exit 4) and asks for cleanup; you'd then delete the half-loaded records and rerun. In the meantime, the participant can continue to Lab 2 using just the Golden Case.</w:t>
      </w:r>
    </w:p>
    <w:p>
      <w:pPr>
        <w:spacing w:before="280" w:after="80"/>
      </w:pPr>
      <w:r>
        <w:rPr>
          <w:b/>
          <w:color w:val="1F4E79"/>
          <w:sz w:val="28"/>
        </w:rPr>
        <w:t>Why we moved away from the Data Import Wizard</w:t>
      </w:r>
    </w:p>
    <w:p>
      <w:r>
        <w:t>Pronto Agentforce Reference orgs don't expose the Cases tile in the Data Import Wizard picker. Confirmed during John Hill's smoke test (2026-10-14). Rather than require participants to install Data Loader (a desktop tool with its own learning curve) or ship a different edition, we moved the full data load to the pre-workshop deploy. Participants lose the 'hands-on with the Data Import Wizard' experience but gain a cleaner Lab 1.5 and a more realistic story about admin tool choice (which is covered in the teaching moment above).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