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5 - Instructor Notes</w:t>
      </w:r>
    </w:p>
    <w:p>
      <w:pPr>
        <w:spacing w:after="240"/>
      </w:pPr>
      <w:r>
        <w:rPr>
          <w:i/>
          <w:color w:val="6A6A6A"/>
          <w:sz w:val="20"/>
        </w:rPr>
        <w:t>Build the Service Disruption Custom Object | ServicePulse 360 Workshop v0.7 (revision 4) | Facilitator guide to the Participant guide of the same name | about 78 min of participant time | about 85 min of instructor time if you present every teaching moment</w:t>
      </w:r>
    </w:p>
    <w:p>
      <w:pPr>
        <w:spacing w:before="280" w:after="80"/>
      </w:pPr>
      <w:r>
        <w:rPr>
          <w:b/>
          <w:color w:val="1F4E79"/>
          <w:sz w:val="28"/>
        </w:rPr>
        <w:t>What changed from r3</w:t>
      </w:r>
    </w:p>
    <w:p>
      <w:r>
        <w:t>Round 19 feedback: Publish Status (originally built in Lab 6 Part 4.1) belongs in the Service Disruption data model, not as a Lab 6 add-on.</w:t>
      </w:r>
    </w:p>
    <w:p>
      <w:pPr>
        <w:pStyle w:val="ListBullet"/>
        <w:spacing w:after="40"/>
      </w:pPr>
      <w:r>
        <w:t>Field 10: Publish Status (Picklist with Draft, Pending Approval, Approved, Rejected; Draft default) added to Part 3.</w:t>
      </w:r>
    </w:p>
    <w:p>
      <w:pPr>
        <w:pStyle w:val="ListBullet"/>
        <w:spacing w:after="40"/>
      </w:pPr>
      <w:r>
        <w:t>Service Disruption Layout Communication section now includes Publish Status alongside Description and Rider-Facing Message.</w:t>
      </w:r>
    </w:p>
    <w:p>
      <w:pPr>
        <w:pStyle w:val="ListBullet"/>
        <w:spacing w:after="40"/>
      </w:pPr>
      <w:r>
        <w:t>Field count: 9 to 10. Part 3 time: 25 to 28 min. Lab total: 75 to 78 min.</w:t>
      </w:r>
    </w:p>
    <w:p>
      <w:pPr>
        <w:pStyle w:val="ListBullet"/>
        <w:spacing w:after="40"/>
      </w:pPr>
      <w:r>
        <w:t>Checkbox wording updated: 'Auto add to custom report type' is actually labeled 'Add this field to existing custom report types that contain this entity' in the UI. Applied to Field 10 only; other fields may still use the old wording and will need a sweep in a future revision.</w:t>
      </w:r>
    </w:p>
    <w:p>
      <w:pPr>
        <w:spacing w:before="280" w:after="80"/>
      </w:pPr>
      <w:r>
        <w:rPr>
          <w:b/>
          <w:color w:val="1F4E79"/>
          <w:sz w:val="28"/>
        </w:rPr>
        <w:t>How to use this document</w:t>
      </w:r>
    </w:p>
    <w:p>
      <w:r>
        <w:t>This is the instructor-facing companion to the Lab 05 Participant guide. Participants should receive only the Participant guide. Four kinds of annotations: Pacing, Teaching moments, Listen for, Common errors.</w:t>
      </w:r>
    </w:p>
    <w:p>
      <w:pPr>
        <w:spacing w:before="280" w:after="80"/>
      </w:pPr>
      <w:r>
        <w:rPr>
          <w:b/>
          <w:color w:val="1F4E79"/>
          <w:sz w:val="28"/>
        </w:rPr>
        <w:t>Pre-workshop setup checklist</w:t>
      </w:r>
    </w:p>
    <w:p>
      <w:pPr>
        <w:pStyle w:val="ListBullet"/>
        <w:spacing w:after="40"/>
      </w:pPr>
      <w:r>
        <w:t>Participants have completed Labs 1 through 4. Golden Case record exists and is linked to NYCT Bus 4521 (Asset) and the Work Order from Lab 4.</w:t>
      </w:r>
    </w:p>
    <w:p>
      <w:pPr>
        <w:pStyle w:val="ListBullet"/>
        <w:spacing w:after="40"/>
      </w:pPr>
      <w:r>
        <w:t>No pre-created Service Disruption records. Participants build everything from scratch.</w:t>
      </w:r>
    </w:p>
    <w:p>
      <w:pPr>
        <w:pStyle w:val="ListBullet"/>
        <w:spacing w:after="40"/>
      </w:pPr>
      <w:r>
        <w:t>ServicePulse 360 app is the default on login.</w:t>
      </w:r>
    </w:p>
    <w:p>
      <w:pPr>
        <w:spacing w:before="280" w:after="80"/>
      </w:pPr>
      <w:r>
        <w:rPr>
          <w:b/>
          <w:color w:val="1F4E79"/>
          <w:sz w:val="28"/>
        </w:rPr>
        <w:t>Pacing summary</w:t>
      </w:r>
    </w:p>
    <w:p>
      <w:pPr>
        <w:pStyle w:val="ListBullet"/>
        <w:spacing w:after="40"/>
      </w:pPr>
      <w:r>
        <w:t>Part 1 (Walk through the standard-fit test): 10 min, discussion-heavy</w:t>
      </w:r>
    </w:p>
    <w:p>
      <w:pPr>
        <w:pStyle w:val="ListBullet"/>
        <w:spacing w:after="40"/>
      </w:pPr>
      <w:r>
        <w:t>Part 2 (Create the custom object + tab): 10 min</w:t>
      </w:r>
    </w:p>
    <w:p>
      <w:pPr>
        <w:pStyle w:val="ListBullet"/>
        <w:spacing w:after="40"/>
      </w:pPr>
      <w:r>
        <w:t>Part 3 (10 fields including timestamps, Duration, Publish Status + 4 Record Types): 28 min</w:t>
      </w:r>
    </w:p>
    <w:p>
      <w:pPr>
        <w:pStyle w:val="ListBullet"/>
        <w:spacing w:after="40"/>
      </w:pPr>
      <w:r>
        <w:t>Part 4 (Case lookup to Service Disruption + Dynamic Forms placement): 8 min</w:t>
      </w:r>
    </w:p>
    <w:p>
      <w:pPr>
        <w:pStyle w:val="ListBullet"/>
        <w:spacing w:after="40"/>
      </w:pPr>
      <w:r>
        <w:t>Part 5 (Configure the Service Disruption Layout and Lightning record page): 12 min</w:t>
      </w:r>
    </w:p>
    <w:p>
      <w:pPr>
        <w:pStyle w:val="ListBullet"/>
        <w:spacing w:after="40"/>
      </w:pPr>
      <w:r>
        <w:t>Part 6 (Create disruption + link Golden Case): 10 min</w:t>
      </w:r>
    </w:p>
    <w:p>
      <w:pPr>
        <w:pStyle w:val="ListBullet"/>
        <w:spacing w:after="40"/>
      </w:pPr>
      <w:r>
        <w:t>Final Verification: 5 min</w:t>
      </w:r>
    </w:p>
    <w:p>
      <w:pPr>
        <w:pStyle w:val="ListBullet"/>
        <w:spacing w:after="40"/>
      </w:pPr>
      <w:r>
        <w:t>Buffer: about 5 min</w:t>
      </w:r>
    </w:p>
    <w:p>
      <w:pPr>
        <w:pStyle w:val="ListBullet"/>
        <w:spacing w:after="40"/>
      </w:pPr>
      <w:r>
        <w:t>Total participant time: about 78 min hands-on.</w:t>
      </w:r>
    </w:p>
    <w:p>
      <w:pPr>
        <w:spacing w:before="280" w:after="80"/>
      </w:pPr>
      <w:r>
        <w:rPr>
          <w:b/>
          <w:color w:val="1F4E79"/>
          <w:sz w:val="28"/>
        </w:rPr>
        <w:t>The arc of this lab, what to establish verbally before Part 1</w:t>
      </w:r>
    </w:p>
    <w:p>
      <w:pPr>
        <w:spacing w:before="80" w:after="80"/>
        <w:ind w:left="227"/>
      </w:pPr>
      <w:r>
        <w:rPr>
          <w:b/>
          <w:color w:val="A35029"/>
        </w:rPr>
        <w:t xml:space="preserve">Teaching moment: </w:t>
      </w:r>
      <w:r>
        <w:t>This is the only custom object in the workshop. Make the moment land verbally: 'Yesterday we built everything on standard objects. Case, Asset, Work Order. Even where it felt tempting to go custom (that custom Issue_Type field some of you asked about on Day 1), we resisted. Today we build one deliberate custom object, Service_Disruption__c. The point of today is NOT that custom is bad. The point is that custom should be a conscious decision, not a reflex. Standard-first means we test standard first. If no standard object fits, custom wins. We walked that test every time with standard objects. Today we walk it and conclude custom is the answer.'</w:t>
      </w:r>
    </w:p>
    <w:p>
      <w:pPr>
        <w:spacing w:before="80" w:after="80"/>
        <w:ind w:left="227"/>
      </w:pPr>
      <w:r>
        <w:rPr>
          <w:b/>
          <w:color w:val="A35029"/>
        </w:rPr>
        <w:t xml:space="preserve">Teaching moment: </w:t>
      </w:r>
      <w:r>
        <w:t>The 'one deliberate custom object' framing is a useful anchor for the whole workshop. 'If a real MTA implementation has 1 custom object for every 10 standard objects used, you're probably in good shape. If you have 10 custom for every 1 standard, you've probably invented work. Today's Service Disruption passes the test. The exercise is practicing the test, not just the build.'</w:t>
      </w:r>
    </w:p>
    <w:p>
      <w:pPr>
        <w:spacing w:before="280" w:after="80"/>
      </w:pPr>
      <w:r>
        <w:rPr>
          <w:b/>
          <w:color w:val="1F4E79"/>
          <w:sz w:val="28"/>
        </w:rPr>
        <w:t>Part 1 - Walk the standard-fit test (10 min)</w:t>
      </w:r>
    </w:p>
    <w:p>
      <w:r>
        <w:t>Part 1 is deliberately discussion-heavy. Participants read the four standard-object candidates, hear why each one fails, and conclude custom is justified. Use this time to generate dialogue, not just read the lab.</w:t>
      </w:r>
    </w:p>
    <w:p>
      <w:pPr>
        <w:spacing w:before="80" w:after="80"/>
        <w:ind w:left="227"/>
      </w:pPr>
      <w:r>
        <w:rPr>
          <w:b/>
          <w:color w:val="A35029"/>
        </w:rPr>
        <w:t xml:space="preserve">Teaching moment: </w:t>
      </w:r>
      <w:r>
        <w:t>Make this interactive. For each of the four candidates (Case, Asset, Knowledge, Work Order), ask the room 'what would be wrong with modeling a service disruption as this?' before showing the answer. Participants who try and fail to force-fit standard objects internalize the standard-fit test better than participants who just read it.</w:t>
      </w:r>
    </w:p>
    <w:p>
      <w:pPr>
        <w:spacing w:before="80" w:after="80"/>
        <w:ind w:left="227"/>
      </w:pPr>
      <w:r>
        <w:rPr>
          <w:b/>
          <w:color w:val="8E44AD"/>
        </w:rPr>
        <w:t xml:space="preserve">Listen for: </w:t>
      </w:r>
      <w:r>
        <w:t>Someone saying "but Case is a lot like a disruption." Validate the observation. "You're right that a Case and a disruption look similar: both have status, both are reported, both affect operations. The difference is the one-to-many: a disruption affects many riders, each of whom gets their own Case. The disruption is the parent event; Cases are children. If we modeled the disruption as a Case, we'd have no clean way to represent that one event spawned ten Cases."</w:t>
      </w:r>
    </w:p>
    <w:p>
      <w:pPr>
        <w:spacing w:before="80" w:after="80"/>
        <w:ind w:left="227"/>
      </w:pPr>
      <w:r>
        <w:rPr>
          <w:b/>
          <w:color w:val="8E44AD"/>
        </w:rPr>
        <w:t xml:space="preserve">Listen for: </w:t>
      </w:r>
      <w:r>
        <w:t>Someone asking "could we use a different standard object like Problem (ITIL) or Incident?" Honest answer: "Those exist in some Salesforce Cloud SKUs (Service Cloud Incident Management has an Incident object), but not reliably in every org. Also they're ITIL-shaped, which maps to IT ops, not transit ops. For an MTA audience, Service_Disruption__c as a custom object is more legible and more flexible than the ITIL standard. If MTA were an IT shop, that answer would be different."</w:t>
      </w:r>
    </w:p>
    <w:p>
      <w:pPr>
        <w:spacing w:before="280" w:after="80"/>
      </w:pPr>
      <w:r>
        <w:rPr>
          <w:b/>
          <w:color w:val="1F4E79"/>
          <w:sz w:val="28"/>
        </w:rPr>
        <w:t>Part 2 - Create the custom object + tab (10 min)</w:t>
      </w:r>
    </w:p>
    <w:p>
      <w:pPr>
        <w:spacing w:before="80" w:after="80"/>
        <w:ind w:left="227"/>
      </w:pPr>
      <w:r>
        <w:rPr>
          <w:b/>
          <w:color w:val="A35029"/>
        </w:rPr>
        <w:t xml:space="preserve">Teaching moment: </w:t>
      </w:r>
      <w:r>
        <w:t>Walk through the object definition fields and call out which are consequential. 'Allow Reports means this object appears in the Reports builder. Allow Activities means Tasks and Events can be logged against it. Track Field History means Service Disruption field changes get audit-logged. For a disruption that affects public communications, Track Field History is particularly valuable: you want to know who changed the Headline from Signal Issue to Equipment Failure.'</w:t>
      </w:r>
    </w:p>
    <w:p>
      <w:pPr>
        <w:spacing w:before="80" w:after="80"/>
        <w:ind w:left="227"/>
      </w:pPr>
      <w:r>
        <w:rPr>
          <w:b/>
          <w:color w:val="A35029"/>
        </w:rPr>
        <w:t xml:space="preserve">Teaching moment: </w:t>
      </w:r>
      <w:r>
        <w:t>The auto-number pattern SD-{00000} is a convention worth calling out. 'Service Disruption Number auto-populates as SD-00001, SD-00002, etc. The 5-digit format gives us up to 99,999 records before rollover. For MTA\'s volume (a few disruptions per week per agency) this is overkill, but better to have padding than to run out.'</w:t>
      </w:r>
    </w:p>
    <w:p>
      <w:pPr>
        <w:spacing w:before="80" w:after="80"/>
        <w:ind w:left="227"/>
      </w:pPr>
      <w:r>
        <w:rPr>
          <w:b/>
          <w:color w:val="C0392B"/>
        </w:rPr>
        <w:t xml:space="preserve">Common error: </w:t>
      </w:r>
      <w:r>
        <w:t>Participant forgets to check 'Launch New Custom Tab Wizard' and the tab wizard doesn't launch after Save. Fix: Setup then Tabs then New under Custom Object Tabs. Or add via the App Manager pencil icon as a user-side nav item.</w:t>
      </w:r>
    </w:p>
    <w:p>
      <w:pPr>
        <w:spacing w:before="80" w:after="80"/>
        <w:ind w:left="227"/>
      </w:pPr>
      <w:r>
        <w:rPr>
          <w:b/>
          <w:color w:val="C0392B"/>
        </w:rPr>
        <w:t xml:space="preserve">Common error: </w:t>
      </w:r>
      <w:r>
        <w:t>Participant doesn't add the tab to the ServicePulse 360 app. Fix: Setup then App Manager then ServicePulse 360 then edit, add Service Disruption to Navigation Items.</w:t>
      </w:r>
    </w:p>
    <w:p>
      <w:pPr>
        <w:spacing w:before="280" w:after="80"/>
      </w:pPr>
      <w:r>
        <w:rPr>
          <w:b/>
          <w:color w:val="1F4E79"/>
          <w:sz w:val="28"/>
        </w:rPr>
        <w:t>Part 3 - 6 fields + 4 Record Types (18 min)</w:t>
      </w:r>
    </w:p>
    <w:p>
      <w:pPr>
        <w:spacing w:before="80" w:after="80"/>
        <w:ind w:left="227"/>
      </w:pPr>
      <w:r>
        <w:rPr>
          <w:b/>
          <w:color w:val="A35029"/>
        </w:rPr>
        <w:t xml:space="preserve">Teaching moment: </w:t>
      </w:r>
      <w:r>
        <w:t>'We're adding six fields, not sixty. The temptation when building a custom object is to add every field that might one day be useful. Resist. Each field has a maintenance cost: FLS, page layouts, reports, automation. Add the smallest set that makes the object useful; add more only when a real use case demands them.'</w:t>
      </w:r>
    </w:p>
    <w:p>
      <w:pPr>
        <w:spacing w:before="80" w:after="80"/>
        <w:ind w:left="227"/>
      </w:pPr>
      <w:r>
        <w:rPr>
          <w:b/>
          <w:color w:val="A35029"/>
        </w:rPr>
        <w:t xml:space="preserve">Teaching moment: </w:t>
      </w:r>
      <w:r>
        <w:t>Call out the Rider-Facing Message field explicitly. 'This field is deliberately left empty for now. In the next lab, Prompt Builder will fill it in automatically from the Headline and Public Description. The pattern is: raw operational data in Headline + Public Description, AI-generated public communication in Rider-Facing Message. Humans curate the operational data; AI drafts the public text; humans approve before send. This is the Digital Communications Team workflow, automated.'</w:t>
      </w:r>
    </w:p>
    <w:p>
      <w:pPr>
        <w:spacing w:before="80" w:after="80"/>
        <w:ind w:left="227"/>
      </w:pPr>
      <w:r>
        <w:rPr>
          <w:b/>
          <w:color w:val="A35029"/>
        </w:rPr>
        <w:t xml:space="preserve">Teaching moment: </w:t>
      </w:r>
      <w:r>
        <w:t>Record Types on custom objects work identically to Record Types on standard objects. 'This is the same pattern as Case Record Types in Lab 1. The Record Type is just a differentiator. One Service Disruption record is one disruption; which agency Record Type it uses tells us which agency owns it.'</w:t>
      </w:r>
    </w:p>
    <w:p>
      <w:pPr>
        <w:spacing w:before="80" w:after="80"/>
        <w:ind w:left="227"/>
      </w:pPr>
      <w:r>
        <w:rPr>
          <w:b/>
          <w:color w:val="8E44AD"/>
        </w:rPr>
        <w:t xml:space="preserve">Listen for: </w:t>
      </w:r>
      <w:r>
        <w:t>Someone asking "why not just have an Agency picklist field instead of Record Types?" Answer: "Record Types give you more than a picklist. They let you have different page layouts per agency, different picklist values per agency (NYCT disruptions might have different Severity values than B&amp;T), and different automation per agency. Agency as a picklist is simpler but loses those options. Both patterns are valid; Record Types gain flexibility at the cost of initial complexity."</w:t>
      </w:r>
    </w:p>
    <w:p>
      <w:pPr>
        <w:spacing w:before="80" w:after="80"/>
        <w:ind w:left="227"/>
      </w:pPr>
      <w:r>
        <w:rPr>
          <w:b/>
          <w:color w:val="C0392B"/>
        </w:rPr>
        <w:t xml:space="preserve">Common error: </w:t>
      </w:r>
      <w:r>
        <w:t>Participant creates fields but forgets Required=yes on Status and Headline. Fix: edit each field, check Required, Save.</w:t>
      </w:r>
    </w:p>
    <w:p>
      <w:pPr>
        <w:spacing w:before="80" w:after="80"/>
        <w:ind w:left="227"/>
      </w:pPr>
      <w:r>
        <w:rPr>
          <w:b/>
          <w:color w:val="C0392B"/>
        </w:rPr>
        <w:t xml:space="preserve">Common error: </w:t>
      </w:r>
      <w:r>
        <w:t>Participant forgets to check Make Available for System Administrator on Record Type creation (silent failure as always). Fix: Setup then Service Disruption then Record Types then edit the RT then Make Available then check System Administrator.</w:t>
      </w:r>
    </w:p>
    <w:p>
      <w:pPr>
        <w:spacing w:before="280" w:after="80"/>
      </w:pPr>
      <w:r>
        <w:rPr>
          <w:b/>
          <w:color w:val="1F4E79"/>
          <w:sz w:val="28"/>
        </w:rPr>
        <w:t>Part 4 - Case lookup to Service Disruption (8 min)</w:t>
      </w:r>
    </w:p>
    <w:p>
      <w:pPr>
        <w:spacing w:before="80" w:after="80"/>
        <w:ind w:left="227"/>
      </w:pPr>
      <w:r>
        <w:rPr>
          <w:b/>
          <w:color w:val="A35029"/>
        </w:rPr>
        <w:t xml:space="preserve">Teaching moment: </w:t>
      </w:r>
      <w:r>
        <w:t>'This is the moment where the custom object stops being an island. We add a Service Disruption lookup on Case so a Case can optionally point to its parent disruption. This creates a one-to-many: one disruption, many Cases. Participants will see this is just like Case.Account or Case.Contact. Lookups work the same way regardless of whether the target is standard or custom.'</w:t>
      </w:r>
    </w:p>
    <w:p>
      <w:pPr>
        <w:spacing w:before="80" w:after="80"/>
        <w:ind w:left="227"/>
      </w:pPr>
      <w:r>
        <w:rPr>
          <w:b/>
          <w:color w:val="A35029"/>
        </w:rPr>
        <w:t xml:space="preserve">Teaching moment: </w:t>
      </w:r>
      <w:r>
        <w:t>The Related List label 'Rider Cases' is a soft but important UX choice. 'When you add the lookup, Salesforce proposes a default Related List Label like Cases. We rename it to Rider Cases to make the meaning explicit: these are the per-rider manifestations of the disruption, not just any Cases. In production, naming related lists intentionally pays off because dispatchers read labels at speed.'</w:t>
      </w:r>
    </w:p>
    <w:p>
      <w:pPr>
        <w:spacing w:before="80" w:after="80"/>
        <w:ind w:left="227"/>
      </w:pPr>
      <w:r>
        <w:rPr>
          <w:b/>
          <w:color w:val="C0392B"/>
        </w:rPr>
        <w:t xml:space="preserve">Common error: </w:t>
      </w:r>
      <w:r>
        <w:t>Participant skips the Related List step in the lookup wizard. Symptom: Service_Disruption__c doesn't show a Rider Cases related list. Fix: Setup then Case then Service Disruption field then Edit, re-run the related list creation.</w:t>
      </w:r>
    </w:p>
    <w:p>
      <w:pPr>
        <w:spacing w:before="280" w:after="80"/>
      </w:pPr>
      <w:r>
        <w:rPr>
          <w:b/>
          <w:color w:val="1F4E79"/>
          <w:sz w:val="28"/>
        </w:rPr>
        <w:t>Part 5 - Configure the Service Disruption Layout and Lightning record page (12 min)</w:t>
      </w:r>
    </w:p>
    <w:p>
      <w:pPr>
        <w:spacing w:before="80" w:after="80"/>
        <w:ind w:left="227"/>
      </w:pPr>
      <w:r>
        <w:rPr>
          <w:b/>
          <w:color w:val="A35029"/>
        </w:rPr>
        <w:t xml:space="preserve">Teaching moment: </w:t>
      </w:r>
      <w:r>
        <w:t>The layout-first pattern is now a cross-Day pattern. We did it with the Asset Layout in Lab 3 and the Work Order Layout in Lab 4. Now we do it on the one custom object. Say explicitly: 'Trimming and organizing the layout before you have any records means every record you create afterwards is already clean. Zero wasted layout clicks after you've got data in the object.'</w:t>
      </w:r>
    </w:p>
    <w:p>
      <w:pPr>
        <w:spacing w:before="80" w:after="80"/>
        <w:ind w:left="227"/>
      </w:pPr>
      <w:r>
        <w:rPr>
          <w:b/>
          <w:color w:val="A35029"/>
        </w:rPr>
        <w:t xml:space="preserve">Teaching moment: </w:t>
      </w:r>
      <w:r>
        <w:t>The section organization (Information, Communication, System Information) reflects the mental model of the data. 'Operational data goes in Information. Public communication fields go in Communication. Audit fields go in System Information. The section names tell dispatchers what each cluster of fields is for.'</w:t>
      </w:r>
    </w:p>
    <w:p>
      <w:pPr>
        <w:spacing w:before="80" w:after="80"/>
        <w:ind w:left="227"/>
      </w:pPr>
      <w:r>
        <w:rPr>
          <w:b/>
          <w:color w:val="C0392B"/>
        </w:rPr>
        <w:t xml:space="preserve">Common error: </w:t>
      </w:r>
      <w:r>
        <w:t>Lightning record page shows a different field arrangement than the classic layout. Dynamic Forms may not be on this object's Lightning record page. If participants see monolithic Record Detail instead of sections, open the Lightning record page in Edit Page and migrate to Dynamic Forms (same pattern as Lab 1 Part 9).</w:t>
      </w:r>
    </w:p>
    <w:p>
      <w:pPr>
        <w:spacing w:before="280" w:after="80"/>
      </w:pPr>
      <w:r>
        <w:rPr>
          <w:b/>
          <w:color w:val="1F4E79"/>
          <w:sz w:val="28"/>
        </w:rPr>
        <w:t>Part 6 - Create disruption + link Golden Case (10 min)</w:t>
      </w:r>
    </w:p>
    <w:p>
      <w:pPr>
        <w:spacing w:before="80" w:after="80"/>
        <w:ind w:left="227"/>
      </w:pPr>
      <w:r>
        <w:rPr>
          <w:b/>
          <w:color w:val="A35029"/>
        </w:rPr>
        <w:t xml:space="preserve">Teaching moment: </w:t>
      </w:r>
      <w:r>
        <w:t>'Creating the Service Disruption record is where the object comes alive. Up to now, participants have built the schema; now they populate it with a realistic example. The 7 Line signal fault at Vernon Blvd is specifically chosen because it maps to a known NYCT geography. In production, dispatchers would be entering disruptions constantly; this one record is representative.'</w:t>
      </w:r>
    </w:p>
    <w:p>
      <w:pPr>
        <w:spacing w:before="80" w:after="80"/>
        <w:ind w:left="227"/>
      </w:pPr>
      <w:r>
        <w:rPr>
          <w:b/>
          <w:color w:val="A35029"/>
        </w:rPr>
        <w:t xml:space="preserve">Teaching moment: </w:t>
      </w:r>
      <w:r>
        <w:t>The Rider-Facing Message is deliberately left empty. 'In the real MTA workflow, the Digital Communications Team drafts the rider-facing message by hand. Lab 6 automates this with Prompt Builder: given the Headline and Public Description, generate the Rider-Facing Message in the tone and format MTA uses for public alerts.'</w:t>
      </w:r>
    </w:p>
    <w:p>
      <w:pPr>
        <w:spacing w:before="80" w:after="80"/>
        <w:ind w:left="227"/>
      </w:pPr>
      <w:r>
        <w:rPr>
          <w:b/>
          <w:color w:val="8E44AD"/>
        </w:rPr>
        <w:t xml:space="preserve">Listen for: </w:t>
      </w:r>
      <w:r>
        <w:t>Someone asking "do all MTA Cases get a Service Disruption lookup?" Answer: "Not necessarily. A password reset Case has no parent disruption. A FOIL request has no parent disruption. The lookup is optional. In production, you'd expect maybe 30-40% of Cases to roll up to a disruption during an active event, and near-zero outside of events. The lookup is there when you need it."</w:t>
      </w:r>
    </w:p>
    <w:p>
      <w:pPr>
        <w:spacing w:before="280" w:after="80"/>
      </w:pPr>
      <w:r>
        <w:rPr>
          <w:b/>
          <w:color w:val="1F4E79"/>
          <w:sz w:val="28"/>
        </w:rPr>
        <w:t>Final Verification (5 min)</w:t>
      </w:r>
    </w:p>
    <w:p>
      <w:pPr>
        <w:spacing w:before="80" w:after="80"/>
        <w:ind w:left="227"/>
      </w:pPr>
      <w:r>
        <w:rPr>
          <w:b/>
          <w:color w:val="A35029"/>
        </w:rPr>
        <w:t xml:space="preserve">Teaching moment: </w:t>
      </w:r>
      <w:r>
        <w:t>Use Final Verification to close the standard-first arc. 'In five labs you've extended four standard objects (Case, Asset, Work Order, Work Type) and built one deliberate custom object (Service Disruption). The ratio is intentional. Standard-first means standard until proven otherwise. You proved otherwise today, with Service Disruption. That's the pattern you take back to production.'</w:t>
      </w:r>
    </w:p>
    <w:p>
      <w:pPr>
        <w:spacing w:before="280" w:after="80"/>
      </w:pPr>
      <w:r>
        <w:rPr>
          <w:b/>
          <w:color w:val="1F4E79"/>
          <w:sz w:val="28"/>
        </w:rPr>
        <w:t>After Lab 05 - before Lab 06</w:t>
      </w:r>
    </w:p>
    <w:p>
      <w:pPr>
        <w:pStyle w:val="ListBullet"/>
        <w:spacing w:after="40"/>
      </w:pPr>
      <w:r>
        <w:t>Confirm every participant's Golden Case now has a Service Disruption lookup populated with their SD-00001 record. Lab 6 depends on it.</w:t>
      </w:r>
    </w:p>
    <w:p>
      <w:pPr>
        <w:pStyle w:val="ListBullet"/>
        <w:spacing w:after="40"/>
      </w:pPr>
      <w:r>
        <w:t>Deploy the v08-sla-extension scaffolding package to each org (one sf project deploy command). It adds three SLA formula fields to Service_Disruption__c: SLA Target (Minutes), SLA Breach, and Minutes Over SLA. The fields reference Severity and Duration (both built in this lab), so this deploy only works AFTER Lab 5 is complete. Participants will see these fields appear in their Report column pickers during Lab 6 Part 5. See scaffolding-package/v08-sla-extension/README.md for the deploy command and layout recommendation.</w:t>
      </w:r>
    </w:p>
    <w:p>
      <w:pPr>
        <w:pStyle w:val="ListBullet"/>
        <w:spacing w:after="40"/>
      </w:pPr>
      <w:r>
        <w:t>Preview Lab 06 verbally: 'Next we add Agentforce. Build an agent action that reads the active Service Disruptions for an agency. Build a Prompt Template that generates the Rider-Facing Message from the Headline and Public Description. Then run the agent and watch it work.'</w:t>
      </w:r>
    </w:p>
    <w:p>
      <w:pPr>
        <w:spacing w:before="80" w:after="80"/>
        <w:ind w:left="227"/>
      </w:pPr>
      <w:r>
        <w:rPr>
          <w:b/>
          <w:color w:val="A35029"/>
        </w:rPr>
        <w:t xml:space="preserve">Teaching moment: </w:t>
      </w:r>
      <w:r>
        <w:t>'The SLA fields that just appeared in your Service Disruption object were added via scaffolding. You'll see them in Lab 6 when you build Reports. In a real engagement you'd build them exactly the way you built Duration (Minutes) today: pick target thresholds by severity, write a formula. The native Salesforce alternative is Entitlement Management, which lives on the Case object and ships a Milestone Tracker UI. That's a Phase 2 topic for a focused SLA deep-dive, not for this foundational workshop.'</w:t>
      </w:r>
    </w:p>
    <w:p>
      <w:pPr>
        <w:spacing w:before="280" w:after="80"/>
      </w:pPr>
      <w:r>
        <w:rPr>
          <w:b/>
          <w:color w:val="1F4E79"/>
          <w:sz w:val="28"/>
        </w:rPr>
        <w:t>Teaching register - Tim's reminder to self</w:t>
      </w:r>
    </w:p>
    <w:p>
      <w:r>
        <w:t>Custom object decision-making as a concept: Definition then Constraint then Unlock.</w:t>
      </w:r>
    </w:p>
    <w:p>
      <w:pPr>
        <w:pStyle w:val="ListBullet"/>
        <w:spacing w:after="40"/>
      </w:pPr>
      <w:r>
        <w:t>Definition: A custom object is justified when standard Salesforce objects genuinely cannot model your business concept.</w:t>
      </w:r>
    </w:p>
    <w:p>
      <w:pPr>
        <w:pStyle w:val="ListBullet"/>
        <w:spacing w:after="40"/>
      </w:pPr>
      <w:r>
        <w:t>Constraint: Standard-first is the default. The test for custom is: does the standard set FAIL? If no, standard wins. If yes, custom is correct.</w:t>
      </w:r>
    </w:p>
    <w:p>
      <w:pPr>
        <w:pStyle w:val="ListBullet"/>
        <w:spacing w:after="40"/>
      </w:pPr>
      <w:r>
        <w:t>Unlock: Deliberate custom objects fit cleanly into the standard-object data model via lookups. The custom object isn't an island; it's a specific node in a larger graph.</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