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1F4E79"/>
          <w:sz w:val="40"/>
        </w:rPr>
        <w:t>Lab 1 — Instructor Notes</w:t>
      </w:r>
    </w:p>
    <w:p>
      <w:pPr>
        <w:spacing w:after="240"/>
      </w:pPr>
      <w:r>
        <w:rPr>
          <w:i/>
          <w:color w:val="6A6A6A"/>
          <w:sz w:val="20"/>
        </w:rPr>
        <w:t>Extend the Case Object for Multi-Agency Intake | ServicePulse 360 Workshop v0.7 (revision 10) | Facilitator guide to the Participant guide of the same name | about 100 min of participant time | about 115 min of instructor time if you present every teaching moment</w:t>
      </w:r>
    </w:p>
    <w:p>
      <w:pPr>
        <w:spacing w:before="280" w:after="80"/>
      </w:pPr>
      <w:r>
        <w:rPr>
          <w:b/>
          <w:color w:val="1F4E79"/>
          <w:sz w:val="28"/>
        </w:rPr>
        <w:t>What changed from r9</w:t>
      </w:r>
    </w:p>
    <w:p>
      <w:r>
        <w:t>Round 19 feedback: Lab 6 needs the Dashboards tab in the ServicePulse 360 app. Added here in Lab 1 Part 0 so it is present from the start.</w:t>
      </w:r>
    </w:p>
    <w:p>
      <w:pPr>
        <w:pStyle w:val="ListBullet"/>
        <w:spacing w:after="40"/>
      </w:pPr>
      <w:r>
        <w:t>Part 0 Navigation Items step now adds Cases, Reports, AND Dashboards (previously just Cases and Reports).</w:t>
      </w:r>
    </w:p>
    <w:p>
      <w:pPr>
        <w:pStyle w:val="ListBullet"/>
        <w:spacing w:after="40"/>
      </w:pPr>
      <w:r>
        <w:t>No other changes.</w:t>
      </w:r>
    </w:p>
    <w:p>
      <w:pPr>
        <w:spacing w:before="280" w:after="80"/>
      </w:pPr>
      <w:r>
        <w:rPr>
          <w:b/>
          <w:color w:val="1F4E79"/>
          <w:sz w:val="28"/>
        </w:rPr>
        <w:t>How to use this document</w:t>
      </w:r>
    </w:p>
    <w:p>
      <w:r>
        <w:t>This is the instructor-facing companion to the Lab 01 Participant guide. Participants should receive only the Participant guide. This instructor guide mirrors the Participant structure part-by-part and adds four kinds of annotations:</w:t>
      </w:r>
    </w:p>
    <w:p>
      <w:pPr>
        <w:pStyle w:val="ListBullet"/>
        <w:spacing w:after="40"/>
      </w:pPr>
      <w:r>
        <w:t>Pacing: how long each Part should take, with pacing-check moments</w:t>
      </w:r>
    </w:p>
    <w:p>
      <w:pPr>
        <w:pStyle w:val="ListBullet"/>
        <w:spacing w:after="40"/>
      </w:pPr>
      <w:r>
        <w:t>Teaching moments: the deeper principle or framing an instructor should articulate out loud</w:t>
      </w:r>
    </w:p>
    <w:p>
      <w:pPr>
        <w:pStyle w:val="ListBullet"/>
        <w:spacing w:after="40"/>
      </w:pPr>
      <w:r>
        <w:t>Listen for: questions and misconceptions that commonly surface and what to listen for in the room</w:t>
      </w:r>
    </w:p>
    <w:p>
      <w:pPr>
        <w:pStyle w:val="ListBullet"/>
        <w:spacing w:after="40"/>
      </w:pPr>
      <w:r>
        <w:t>Common errors: specific places participants get stuck, how to recognize the symptom, and how to recover</w:t>
      </w:r>
    </w:p>
    <w:p>
      <w:pPr>
        <w:spacing w:before="280" w:after="80"/>
      </w:pPr>
      <w:r>
        <w:rPr>
          <w:b/>
          <w:color w:val="1F4E79"/>
          <w:sz w:val="28"/>
        </w:rPr>
        <w:t>Pre-workshop setup checklist</w:t>
      </w:r>
    </w:p>
    <w:p>
      <w:r>
        <w:t>Before Day 1 begins, confirm the following on every participant org:</w:t>
      </w:r>
    </w:p>
    <w:p>
      <w:pPr>
        <w:pStyle w:val="ListBullet"/>
        <w:spacing w:after="40"/>
      </w:pPr>
      <w:r>
        <w:t>The ServicePulse 360 workshop template was provisioned (Pronto Agentforce Reference, Developer Edition).</w:t>
      </w:r>
    </w:p>
    <w:p>
      <w:pPr>
        <w:pStyle w:val="ListBullet"/>
        <w:spacing w:after="40"/>
      </w:pPr>
      <w:r>
        <w:t>Setup then Einstein Setup then Turn on Einstein is on.</w:t>
      </w:r>
    </w:p>
    <w:p>
      <w:pPr>
        <w:pStyle w:val="ListBullet"/>
        <w:spacing w:after="40"/>
      </w:pPr>
      <w:r>
        <w:t>Setup then Agentforce Agents toggle is on.</w:t>
      </w:r>
    </w:p>
    <w:p>
      <w:pPr>
        <w:pStyle w:val="ListBullet"/>
        <w:spacing w:after="40"/>
      </w:pPr>
      <w:r>
        <w:t>AgentActionsTest.cls has been patched (line 71 giftCertificatesJson to giftCertificates).</w:t>
      </w:r>
    </w:p>
    <w:p>
      <w:pPr>
        <w:pStyle w:val="ListBullet"/>
        <w:spacing w:after="40"/>
      </w:pPr>
      <w:r>
        <w:t>The v0.7 Case extension scaffolding has been deployed to every participant org (CasePriority and CaseType StandardValueSets, MTA Case Support Process, 4 Record Types, 2 custom fields, compact layout, permission set).</w:t>
      </w:r>
    </w:p>
    <w:p>
      <w:pPr>
        <w:pStyle w:val="ListBullet"/>
        <w:spacing w:after="40"/>
      </w:pPr>
      <w:r>
        <w:t>The four MTA agency Accounts are pre-deployed: MTA New York City Transit, MTA Long Island Rail Road, MTA Metro-North Railroad, MTA Bridges and Tunnels. Lab 10.1 includes fallback instructions if they're missing, but pre-deploying saves 2 minutes per participant.</w:t>
      </w:r>
    </w:p>
    <w:p>
      <w:pPr>
        <w:pStyle w:val="ListBullet"/>
        <w:spacing w:after="40"/>
      </w:pPr>
      <w:r>
        <w:t>The four MTA agency Contacts are pre-deployed: Marcus Chen (NYCT), Priya Patel (LIRR), Elena Rodriguez (MNR), James O'Brien (B&amp;T). Optional (participants can pick any contact if these aren't present) but makes the Golden Record feel MTA-coherent.</w:t>
      </w:r>
    </w:p>
    <w:p>
      <w:pPr>
        <w:pStyle w:val="ListBullet"/>
        <w:spacing w:after="40"/>
      </w:pPr>
      <w:r>
        <w:t>Each participant has their own org login.</w:t>
      </w:r>
    </w:p>
    <w:p>
      <w:pPr>
        <w:pStyle w:val="ListBullet"/>
        <w:spacing w:after="40"/>
      </w:pPr>
      <w:r>
        <w:t>Smoke-test one participant org end-to-end before Day 1.</w:t>
      </w:r>
    </w:p>
    <w:p>
      <w:pPr>
        <w:spacing w:before="280" w:after="80"/>
      </w:pPr>
      <w:r>
        <w:rPr>
          <w:b/>
          <w:color w:val="1F4E79"/>
          <w:sz w:val="28"/>
        </w:rPr>
        <w:t>Pacing summary</w:t>
      </w:r>
    </w:p>
    <w:p>
      <w:pPr>
        <w:pStyle w:val="ListBullet"/>
        <w:spacing w:after="40"/>
      </w:pPr>
      <w:r>
        <w:t>Part 0 (Create ServicePulse 360 App): 8 min</w:t>
      </w:r>
    </w:p>
    <w:p>
      <w:pPr>
        <w:pStyle w:val="ListBullet"/>
        <w:spacing w:after="40"/>
      </w:pPr>
      <w:r>
        <w:t>Part 1 (Tour Case): 5 min</w:t>
      </w:r>
    </w:p>
    <w:p>
      <w:pPr>
        <w:pStyle w:val="ListBullet"/>
        <w:spacing w:after="40"/>
      </w:pPr>
      <w:r>
        <w:t>Part 2 (Priority + Type): 10 min</w:t>
      </w:r>
    </w:p>
    <w:p>
      <w:pPr>
        <w:pStyle w:val="ListBullet"/>
        <w:spacing w:after="40"/>
      </w:pPr>
      <w:r>
        <w:t>Part 3 (2 custom fields): 10 min</w:t>
      </w:r>
    </w:p>
    <w:p>
      <w:pPr>
        <w:pStyle w:val="ListBullet"/>
        <w:spacing w:after="40"/>
      </w:pPr>
      <w:r>
        <w:t>Part 4 (Status + Support Process): 4 min</w:t>
      </w:r>
    </w:p>
    <w:p>
      <w:pPr>
        <w:pStyle w:val="ListBullet"/>
        <w:spacing w:after="40"/>
      </w:pPr>
      <w:r>
        <w:t>Part 5 (4 Record Types): 15 min. Biggest block, biggest risk of running over.</w:t>
      </w:r>
    </w:p>
    <w:p>
      <w:pPr>
        <w:pStyle w:val="ListBullet"/>
        <w:spacing w:after="40"/>
      </w:pPr>
      <w:r>
        <w:t>Part 6 (Classic page layout + assignment + Related Lists check): 12 min</w:t>
      </w:r>
    </w:p>
    <w:p>
      <w:pPr>
        <w:pStyle w:val="ListBullet"/>
        <w:spacing w:after="40"/>
      </w:pPr>
      <w:r>
        <w:t>Part 7 (Compact layout): 5 min</w:t>
      </w:r>
    </w:p>
    <w:p>
      <w:pPr>
        <w:pStyle w:val="ListBullet"/>
        <w:spacing w:after="40"/>
      </w:pPr>
      <w:r>
        <w:t>Part 8 (List views): 5 min</w:t>
      </w:r>
    </w:p>
    <w:p>
      <w:pPr>
        <w:pStyle w:val="ListBullet"/>
        <w:spacing w:after="40"/>
      </w:pPr>
      <w:r>
        <w:t>Part 9 (Lightning record page Dynamic Forms placement, incl. Case Record Type and Asset): 12 min</w:t>
      </w:r>
    </w:p>
    <w:p>
      <w:pPr>
        <w:pStyle w:val="ListBullet"/>
        <w:spacing w:after="40"/>
      </w:pPr>
      <w:r>
        <w:t>Part 10 (Create Golden Record): 10 min</w:t>
      </w:r>
    </w:p>
    <w:p>
      <w:pPr>
        <w:pStyle w:val="ListBullet"/>
        <w:spacing w:after="40"/>
      </w:pPr>
      <w:r>
        <w:t>Buffer: about 8 min</w:t>
      </w:r>
    </w:p>
    <w:p>
      <w:pPr>
        <w:pStyle w:val="ListBullet"/>
        <w:spacing w:after="40"/>
      </w:pPr>
      <w:r>
        <w:t>Total participant time: about 104 min hands-on. Give yourself a 2.25-hour wall-clock window including Q&amp;A.</w:t>
      </w:r>
    </w:p>
    <w:p>
      <w:pPr>
        <w:spacing w:before="280" w:after="80"/>
      </w:pPr>
      <w:r>
        <w:rPr>
          <w:b/>
          <w:color w:val="1F4E79"/>
          <w:sz w:val="28"/>
        </w:rPr>
        <w:t>The arc of this lab — what to establish verbally before Part 0</w:t>
      </w:r>
    </w:p>
    <w:p>
      <w:pPr>
        <w:spacing w:before="80" w:after="80"/>
        <w:ind w:left="227"/>
      </w:pPr>
      <w:r>
        <w:rPr>
          <w:b/>
          <w:color w:val="A35029"/>
        </w:rPr>
        <w:t xml:space="preserve">Teaching moment: </w:t>
      </w:r>
      <w:r>
        <w:t>The customize-before-extending test, stated aloud: 'A custom field is justified only when configuration of the standard field genuinely can't reach the goal. Not when the default values are wrong, because picklist values are configurable. Not when the default label is wrong, because rename-the-field is configuration. Not when the default page-layout placement is wrong, because layouts are editable. Custom is for when the standard field is read-only and you need writable, when no standard field captures the concept at all, when the standard field has the wrong data type, or when the standard field is locked to a platform process you can't work around.' You will say this at least four times during the lab.</w:t>
      </w:r>
    </w:p>
    <w:p>
      <w:pPr>
        <w:spacing w:before="80" w:after="80"/>
        <w:ind w:left="227"/>
      </w:pPr>
      <w:r>
        <w:rPr>
          <w:b/>
          <w:color w:val="A35029"/>
        </w:rPr>
        <w:t xml:space="preserve">Teaching moment: </w:t>
      </w:r>
      <w:r>
        <w:t>The other main framing: 'Lab 1 is where we build the data structure and the Lightning UI structure. Lab 2 is where we make the UI adaptive. Everything you do today sets up the Golden Record at the end, which anchors every lab for the next two days.'</w:t>
      </w:r>
    </w:p>
    <w:p>
      <w:pPr>
        <w:spacing w:before="280" w:after="80"/>
      </w:pPr>
      <w:r>
        <w:rPr>
          <w:b/>
          <w:color w:val="1F4E79"/>
          <w:sz w:val="28"/>
        </w:rPr>
        <w:t>Part 0 — Create the ServicePulse 360 Lightning App (8 min)</w:t>
      </w:r>
    </w:p>
    <w:p>
      <w:pPr>
        <w:spacing w:before="80" w:after="80"/>
        <w:ind w:left="227"/>
      </w:pPr>
      <w:r>
        <w:rPr>
          <w:b/>
          <w:color w:val="A35029"/>
        </w:rPr>
        <w:t xml:space="preserve">Teaching moment: </w:t>
      </w:r>
      <w:r>
        <w:t>The dedicated Lightning App isn't just workshop housekeeping. In a real admin's day-to-day, Lightning Apps are how you create scoped UX for a specific team or persona.</w:t>
      </w:r>
    </w:p>
    <w:p>
      <w:pPr>
        <w:spacing w:before="80" w:after="80"/>
        <w:ind w:left="227"/>
      </w:pPr>
      <w:r>
        <w:rPr>
          <w:b/>
          <w:color w:val="C0392B"/>
        </w:rPr>
        <w:t xml:space="preserve">Common error: </w:t>
      </w:r>
      <w:r>
        <w:t>Participant forgets to assign System Administrator in User Profiles step. Symptom: after Save &amp; Finish, they can't find ServicePulse 360 in the App Launcher. Fix: Setup then App Manager then ServicePulse 360 then Edit then User Profiles then add System Administrator then Save.</w:t>
      </w:r>
    </w:p>
    <w:p>
      <w:pPr>
        <w:spacing w:before="280" w:after="80"/>
      </w:pPr>
      <w:r>
        <w:rPr>
          <w:b/>
          <w:color w:val="1F4E79"/>
          <w:sz w:val="28"/>
        </w:rPr>
        <w:t>Part 1 — Tour the standard Case object (5 min)</w:t>
      </w:r>
    </w:p>
    <w:p>
      <w:pPr>
        <w:spacing w:before="80" w:after="80"/>
        <w:ind w:left="227"/>
      </w:pPr>
      <w:r>
        <w:rPr>
          <w:b/>
          <w:color w:val="A35029"/>
        </w:rPr>
        <w:t xml:space="preserve">Teaching moment: </w:t>
      </w:r>
      <w:r>
        <w:t>The Part 1 tour is deliberately low-work, high-insight. The point isn't to configure anything; it's to make participants aware of how much Case already does. Call out at least three fields and what they're pre-wired to.</w:t>
      </w:r>
    </w:p>
    <w:p>
      <w:pPr>
        <w:spacing w:before="280" w:after="80"/>
      </w:pPr>
      <w:r>
        <w:rPr>
          <w:b/>
          <w:color w:val="1F4E79"/>
          <w:sz w:val="28"/>
        </w:rPr>
        <w:t>Part 2 — Customize Priority and Type (10 min)</w:t>
      </w:r>
    </w:p>
    <w:p>
      <w:pPr>
        <w:spacing w:before="80" w:after="80"/>
        <w:ind w:left="227"/>
      </w:pPr>
      <w:r>
        <w:rPr>
          <w:b/>
          <w:color w:val="A35029"/>
        </w:rPr>
        <w:t xml:space="preserve">Teaching moment: </w:t>
      </w:r>
      <w:r>
        <w:t>Part 2.1 is where the customize-before-extending principle lands viscerally. Walk them through the test out loud as they do it.</w:t>
      </w:r>
    </w:p>
    <w:p>
      <w:pPr>
        <w:spacing w:before="80" w:after="80"/>
        <w:ind w:left="227"/>
      </w:pPr>
      <w:r>
        <w:rPr>
          <w:b/>
          <w:color w:val="C0392B"/>
        </w:rPr>
        <w:t xml:space="preserve">Common error: </w:t>
      </w:r>
      <w:r>
        <w:t>Participant counts Inactive Values and gets 16 instead of 7. This is correct, depends on which Pronto template version shipped the org. The participant guide says "at least seven" for this reason.</w:t>
      </w:r>
    </w:p>
    <w:p>
      <w:pPr>
        <w:spacing w:before="80" w:after="80"/>
        <w:ind w:left="227"/>
      </w:pPr>
      <w:r>
        <w:rPr>
          <w:b/>
          <w:color w:val="C0392B"/>
        </w:rPr>
        <w:t xml:space="preserve">Common error: </w:t>
      </w:r>
      <w:r>
        <w:t>Participant forgets to set P3 - Medium as default. Symptom: Priority is blank by default on the Golden Record in Part 10.</w:t>
      </w:r>
    </w:p>
    <w:p>
      <w:pPr>
        <w:spacing w:before="280" w:after="80"/>
      </w:pPr>
      <w:r>
        <w:rPr>
          <w:b/>
          <w:color w:val="1F4E79"/>
          <w:sz w:val="28"/>
        </w:rPr>
        <w:t>Part 3 — Add the two custom fields (10 min)</w:t>
      </w:r>
    </w:p>
    <w:p>
      <w:pPr>
        <w:spacing w:before="80" w:after="80"/>
        <w:ind w:left="227"/>
      </w:pPr>
      <w:r>
        <w:rPr>
          <w:b/>
          <w:color w:val="A35029"/>
        </w:rPr>
        <w:t xml:space="preserve">Teaching moment: </w:t>
      </w:r>
      <w:r>
        <w:t>Walk through each test aloud: Resolution Notes has no standard equivalent (Description is for original report, not resolution). Reported Date/Time has an "almost" (CreatedDate) but CreatedDate is read-only. Custom is justified in both cases.</w:t>
      </w:r>
    </w:p>
    <w:p>
      <w:pPr>
        <w:spacing w:before="80" w:after="80"/>
        <w:ind w:left="227"/>
      </w:pPr>
      <w:r>
        <w:rPr>
          <w:b/>
          <w:color w:val="C0392B"/>
        </w:rPr>
        <w:t xml:space="preserve">Common error: </w:t>
      </w:r>
      <w:r>
        <w:t>Participant chooses Text Area instead of Text Area (Long). Symptom: character limit is 255, not 32768. Fix: delete and recreate.</w:t>
      </w:r>
    </w:p>
    <w:p>
      <w:pPr>
        <w:spacing w:before="80" w:after="80"/>
        <w:ind w:left="227"/>
      </w:pPr>
      <w:r>
        <w:rPr>
          <w:b/>
          <w:color w:val="C0392B"/>
        </w:rPr>
        <w:t xml:space="preserve">Common error: </w:t>
      </w:r>
      <w:r>
        <w:t>Participant types NOW() with lowercase or extra spaces. Fix: NOW() exactly, uppercase.</w:t>
      </w:r>
    </w:p>
    <w:p>
      <w:pPr>
        <w:spacing w:before="280" w:after="80"/>
      </w:pPr>
      <w:r>
        <w:rPr>
          <w:b/>
          <w:color w:val="1F4E79"/>
          <w:sz w:val="28"/>
        </w:rPr>
        <w:t>Part 4 — Confirm Status + Build Support Process (4 min)</w:t>
      </w:r>
    </w:p>
    <w:p>
      <w:pPr>
        <w:spacing w:before="80" w:after="80"/>
        <w:ind w:left="227"/>
      </w:pPr>
      <w:r>
        <w:rPr>
          <w:b/>
          <w:color w:val="A35029"/>
        </w:rPr>
        <w:t xml:space="preserve">Teaching moment: </w:t>
      </w:r>
      <w:r>
        <w:t>Explain why Case has a Support Process at all. Case, Lead, and Opportunity each have a built-in lifecycle Salesforce protects via a controlling process.</w:t>
      </w:r>
    </w:p>
    <w:p>
      <w:pPr>
        <w:spacing w:before="280" w:after="80"/>
      </w:pPr>
      <w:r>
        <w:rPr>
          <w:b/>
          <w:color w:val="1F4E79"/>
          <w:sz w:val="28"/>
        </w:rPr>
        <w:t>Part 5 — Create the four Record Types (15 min)</w:t>
      </w:r>
    </w:p>
    <w:p>
      <w:r>
        <w:t>Biggest Part by time, biggest risk of running over. Watch pacing closely.</w:t>
      </w:r>
    </w:p>
    <w:p>
      <w:pPr>
        <w:spacing w:before="80" w:after="80"/>
        <w:ind w:left="227"/>
      </w:pPr>
      <w:r>
        <w:rPr>
          <w:b/>
          <w:color w:val="A35029"/>
        </w:rPr>
        <w:t xml:space="preserve">Teaching moment: </w:t>
      </w:r>
      <w:r>
        <w:t>Record Types are different VIEWS of the same object, not different objects. Reinforce verbally.</w:t>
      </w:r>
    </w:p>
    <w:p>
      <w:pPr>
        <w:spacing w:before="80" w:after="80"/>
        <w:ind w:left="227"/>
      </w:pPr>
      <w:r>
        <w:rPr>
          <w:b/>
          <w:color w:val="A35029"/>
        </w:rPr>
        <w:t xml:space="preserve">Teaching moment: </w:t>
      </w:r>
      <w:r>
        <w:t>The Make Available step (checking System Administrator) is the #1 silent failure in Record Type creation. Reinforce: 'If you don't check System Administrator here, your Record Type exists but no one can use it.'</w:t>
      </w:r>
    </w:p>
    <w:p>
      <w:pPr>
        <w:spacing w:before="80" w:after="80"/>
        <w:ind w:left="227"/>
      </w:pPr>
      <w:r>
        <w:rPr>
          <w:b/>
          <w:color w:val="C0392B"/>
        </w:rPr>
        <w:t xml:space="preserve">Common error: </w:t>
      </w:r>
      <w:r>
        <w:t>Participant forgets to check System Administrator. Fix: Setup then Case then Record Types then edit the RT then Make Available then check System Administrator.</w:t>
      </w:r>
    </w:p>
    <w:p>
      <w:pPr>
        <w:spacing w:before="80" w:after="80"/>
        <w:ind w:left="227"/>
      </w:pPr>
      <w:r>
        <w:rPr>
          <w:b/>
          <w:color w:val="C0392B"/>
        </w:rPr>
        <w:t xml:space="preserve">Common error: </w:t>
      </w:r>
      <w:r>
        <w:t>Participant forgets to edit the Type picklist for a Record Type. Fix: click the RT then Picklists Available for Editing then Edit Type.</w:t>
      </w:r>
    </w:p>
    <w:p>
      <w:pPr>
        <w:spacing w:before="80" w:after="80"/>
        <w:ind w:left="227"/>
      </w:pPr>
      <w:r>
        <w:rPr>
          <w:b/>
          <w:color w:val="2E75B6"/>
        </w:rPr>
        <w:t xml:space="preserve">Pacing: </w:t>
      </w:r>
      <w:r>
        <w:t>If Part 5 is going slow, compress Part 7 (compact layout) to 3 min. Compact layout is quick; Record Type work is the lab's teaching center of gravity.</w:t>
      </w:r>
    </w:p>
    <w:p>
      <w:pPr>
        <w:spacing w:before="280" w:after="80"/>
      </w:pPr>
      <w:r>
        <w:rPr>
          <w:b/>
          <w:color w:val="1F4E79"/>
          <w:sz w:val="28"/>
        </w:rPr>
        <w:t>Part 6 — Configure the classic page layout (12 min)</w:t>
      </w:r>
    </w:p>
    <w:p>
      <w:pPr>
        <w:spacing w:before="80" w:after="80"/>
        <w:ind w:left="227"/>
      </w:pPr>
      <w:r>
        <w:rPr>
          <w:b/>
          <w:color w:val="A35029"/>
        </w:rPr>
        <w:t xml:space="preserve">Teaching moment: </w:t>
      </w:r>
      <w:r>
        <w:t>This is a critical reframe added in r6. Say explicitly: 'Classic page layouts and Lightning record pages are two different rendering systems. The classic Case Layout we're configuring now controls four things: (1) field order in the create-record modal, (2) which fields are available in the Lightning record page's Fields palette, (3) Related Lists on the Related tab, (4) buttons available in record detail actions. It does NOT control the field arrangement on the Lightning record page itself. In Part 9 we'll do that in a separate system called Dynamic Forms.' Many participants will try to use Part 6 to arrange their Lightning record page; call out this expectation gap now.</w:t>
      </w:r>
    </w:p>
    <w:p>
      <w:pPr>
        <w:spacing w:before="80" w:after="80"/>
        <w:ind w:left="227"/>
      </w:pPr>
      <w:r>
        <w:rPr>
          <w:b/>
          <w:color w:val="A35029"/>
        </w:rPr>
        <w:t xml:space="preserve">Teaching moment: </w:t>
      </w:r>
      <w:r>
        <w:t>Case Record Type field on the layout: 'You've built four Record Types; now the page layout surfaces which one a given Case belongs to. Without this field on the layout, users can see the RT in the record URL but not in the record body.'</w:t>
      </w:r>
    </w:p>
    <w:p>
      <w:pPr>
        <w:spacing w:before="80" w:after="80"/>
        <w:ind w:left="227"/>
      </w:pPr>
      <w:r>
        <w:rPr>
          <w:b/>
          <w:color w:val="A35029"/>
        </w:rPr>
        <w:t xml:space="preserve">Teaching moment: </w:t>
      </w:r>
      <w:r>
        <w:t>Part 6.3 (confirm Case Comments is in Related Lists) is a prerequisite for Lab 2 Part 3. Explain explicitly: 'We're confirming Case Comments is in the Related Lists section here because Lab 2 will surface Case Comments on the Lightning record page via a Related List - Single component. That component only sees related lists that are already on this classic layout.'</w:t>
      </w:r>
    </w:p>
    <w:p>
      <w:pPr>
        <w:spacing w:before="80" w:after="80"/>
        <w:ind w:left="227"/>
      </w:pPr>
      <w:r>
        <w:rPr>
          <w:b/>
          <w:color w:val="C0392B"/>
        </w:rPr>
        <w:t xml:space="preserve">Common error: </w:t>
      </w:r>
      <w:r>
        <w:t>Participant drags Section into the wrong place. Fix: click the section header, Edit Properties, or drag to the right position.</w:t>
      </w:r>
    </w:p>
    <w:p>
      <w:pPr>
        <w:spacing w:before="80" w:after="80"/>
        <w:ind w:left="227"/>
      </w:pPr>
      <w:r>
        <w:rPr>
          <w:b/>
          <w:color w:val="C0392B"/>
        </w:rPr>
        <w:t xml:space="preserve">Common error: </w:t>
      </w:r>
      <w:r>
        <w:t>Participant skips the Shift-click multi-select in Page Layout Assignment. Fix: return to Page Layout Assignment, Edit Assignment, Shift-click all four System Administrator rows, set Page Layout to 'Case Layout', Save.</w:t>
      </w:r>
    </w:p>
    <w:p>
      <w:pPr>
        <w:spacing w:before="80" w:after="80"/>
        <w:ind w:left="227"/>
      </w:pPr>
      <w:r>
        <w:rPr>
          <w:b/>
          <w:color w:val="C0392B"/>
        </w:rPr>
        <w:t xml:space="preserve">Common error: </w:t>
      </w:r>
      <w:r>
        <w:t>Case Comments is missing from the Related Lists section. Fix: drag Case Comments from the palette into the Related Lists section, Save.</w:t>
      </w:r>
    </w:p>
    <w:p>
      <w:pPr>
        <w:spacing w:before="280" w:after="80"/>
      </w:pPr>
      <w:r>
        <w:rPr>
          <w:b/>
          <w:color w:val="1F4E79"/>
          <w:sz w:val="28"/>
        </w:rPr>
        <w:t>Part 7 — Configure the compact layout (5 min)</w:t>
      </w:r>
    </w:p>
    <w:p>
      <w:pPr>
        <w:spacing w:before="80" w:after="80"/>
        <w:ind w:left="227"/>
      </w:pPr>
      <w:r>
        <w:rPr>
          <w:b/>
          <w:color w:val="A35029"/>
        </w:rPr>
        <w:t xml:space="preserve">Teaching moment: </w:t>
      </w:r>
      <w:r>
        <w:t>'The compact layout is what you see in Lightning's highlights panel. It's the record's business card. Four or five fields max.'</w:t>
      </w:r>
    </w:p>
    <w:p>
      <w:pPr>
        <w:spacing w:before="280" w:after="80"/>
      </w:pPr>
      <w:r>
        <w:rPr>
          <w:b/>
          <w:color w:val="1F4E79"/>
          <w:sz w:val="28"/>
        </w:rPr>
        <w:t>Part 8 — Create the list views (5 min)</w:t>
      </w:r>
    </w:p>
    <w:p>
      <w:pPr>
        <w:spacing w:before="80" w:after="80"/>
        <w:ind w:left="227"/>
      </w:pPr>
      <w:r>
        <w:rPr>
          <w:b/>
          <w:color w:val="A35029"/>
        </w:rPr>
        <w:t xml:space="preserve">Teaching moment: </w:t>
      </w:r>
      <w:r>
        <w:t>The clone pattern in 8.2 is a real-world admin shortcut.</w:t>
      </w:r>
    </w:p>
    <w:p>
      <w:pPr>
        <w:spacing w:before="80" w:after="80"/>
        <w:ind w:left="227"/>
      </w:pPr>
      <w:r>
        <w:rPr>
          <w:b/>
          <w:color w:val="C0392B"/>
        </w:rPr>
        <w:t xml:space="preserve">Common error: </w:t>
      </w:r>
      <w:r>
        <w:t>Participant doesn't change "Filter by Owner" from My Cases to All Cases. Symptom: empty list view.</w:t>
      </w:r>
    </w:p>
    <w:p>
      <w:pPr>
        <w:spacing w:before="280" w:after="80"/>
      </w:pPr>
      <w:r>
        <w:rPr>
          <w:b/>
          <w:color w:val="1F4E79"/>
          <w:sz w:val="28"/>
        </w:rPr>
        <w:t>Part 9 — Place custom fields, Case Record Type, and Asset on the Lightning record page via Dynamic Forms (12 min)</w:t>
      </w:r>
    </w:p>
    <w:p>
      <w:pPr>
        <w:spacing w:before="80" w:after="80"/>
        <w:ind w:left="227"/>
      </w:pPr>
      <w:r>
        <w:rPr>
          <w:b/>
          <w:color w:val="A35029"/>
        </w:rPr>
        <w:t xml:space="preserve">Teaching moment: </w:t>
      </w:r>
      <w:r>
        <w:t>This is the lab's most important Lightning concept and the piece most likely to confuse. Say it clearly: 'The Lightning record page is a different surface than the classic page layout. The Pronto template already enabled Dynamic Forms on this record page, so our job isn't to migrate anything. Our job is to add our custom fields (Reported Date/Time, Resolution Notes), the Case Record Type field, and the Asset field to the Lightning record page's canvas.'</w:t>
      </w:r>
    </w:p>
    <w:p>
      <w:pPr>
        <w:spacing w:before="80" w:after="80"/>
        <w:ind w:left="227"/>
      </w:pPr>
      <w:r>
        <w:rPr>
          <w:b/>
          <w:color w:val="A35029"/>
        </w:rPr>
        <w:t xml:space="preserve">Teaching moment: </w:t>
      </w:r>
      <w:r>
        <w:t>On adding Case Record Type to the Dynamic Forms canvas: 'Record Type isn't a custom field, it's a standard metadata attribute, but by default it isn't shown on the Lightning record page. Adding it here makes it visible AND editable, which Lab 2 uses to test field-level visibility rules by switching the Record Type right on your Golden Record. Watch out: in production, switching a Case's Record Type can trigger validation rules and automation. In this workshop context, it's safe.'</w:t>
      </w:r>
    </w:p>
    <w:p>
      <w:pPr>
        <w:spacing w:before="80" w:after="80"/>
        <w:ind w:left="227"/>
      </w:pPr>
      <w:r>
        <w:rPr>
          <w:b/>
          <w:color w:val="A35029"/>
        </w:rPr>
        <w:t xml:space="preserve">Teaching moment: </w:t>
      </w:r>
      <w:r>
        <w:t>Call out the Fields panel versus Components panel in the App Builder. Participants new to the App Builder often don't realize the Fields panel exists. Point to the two tabs (Components and Fields) at the top of the left sidebar: 'Fields are what you drag onto a Dynamic Forms canvas to show individual fields. Components are reusable UI blocks like Related List - Single, Chatter Feed, Record Detail. You'll use both.'</w:t>
      </w:r>
    </w:p>
    <w:p>
      <w:pPr>
        <w:spacing w:before="80" w:after="80"/>
        <w:ind w:left="227"/>
      </w:pPr>
      <w:r>
        <w:rPr>
          <w:b/>
          <w:color w:val="8E44AD"/>
        </w:rPr>
        <w:t xml:space="preserve">Listen for: </w:t>
      </w:r>
      <w:r>
        <w:t>Someone asking "why isn't my Case Layout from Part 6 showing up here?" Correct answer: "The Case Layout from Part 6 controls other things, but Lightning record pages with Dynamic Forms don't automatically mirror the classic layout. You have to explicitly place each field on the Lightning canvas. This is a common surprise for admins; you're not alone."</w:t>
      </w:r>
    </w:p>
    <w:p>
      <w:pPr>
        <w:spacing w:before="80" w:after="80"/>
        <w:ind w:left="227"/>
      </w:pPr>
      <w:r>
        <w:rPr>
          <w:b/>
          <w:color w:val="8E44AD"/>
        </w:rPr>
        <w:t xml:space="preserve">Listen for: </w:t>
      </w:r>
      <w:r>
        <w:t>Someone asking "do I have to do this every time I add a custom field?" Correct answer: "If your Lightning record page uses Dynamic Forms, yes. Each custom field needs an explicit Field component on the canvas. If your Lightning record page uses the older Record Detail component instead, the custom field appears automatically. Modern best practice is Dynamic Forms, which is why we do it this way."</w:t>
      </w:r>
    </w:p>
    <w:p>
      <w:pPr>
        <w:spacing w:before="80" w:after="80"/>
        <w:ind w:left="227"/>
      </w:pPr>
      <w:r>
        <w:rPr>
          <w:b/>
          <w:color w:val="C0392B"/>
        </w:rPr>
        <w:t xml:space="preserve">Common error: </w:t>
      </w:r>
      <w:r>
        <w:t>Participant drags from the Components tab instead of the Fields tab. Symptom: they can't find Reported Date/Time or Resolution Notes anywhere. Fix: switch to the Fields tab (top of left sidebar).</w:t>
      </w:r>
    </w:p>
    <w:p>
      <w:pPr>
        <w:spacing w:before="80" w:after="80"/>
        <w:ind w:left="227"/>
      </w:pPr>
      <w:r>
        <w:rPr>
          <w:b/>
          <w:color w:val="C0392B"/>
        </w:rPr>
        <w:t xml:space="preserve">Common error: </w:t>
      </w:r>
      <w:r>
        <w:t>Participant drags the field but drops it in an invalid location (outside a section). Symptom: the field doesn't appear on the canvas. Fix: drop inside an existing section or create a new section first via the Components tab.</w:t>
      </w:r>
    </w:p>
    <w:p>
      <w:pPr>
        <w:spacing w:before="80" w:after="80"/>
        <w:ind w:left="227"/>
      </w:pPr>
      <w:r>
        <w:rPr>
          <w:b/>
          <w:color w:val="C0392B"/>
        </w:rPr>
        <w:t xml:space="preserve">Common error: </w:t>
      </w:r>
      <w:r>
        <w:t>Participant forgets to Activate the page as Org Default. Fix: Save then Activation then Assign as Org Default then Save then Activate.</w:t>
      </w:r>
    </w:p>
    <w:p>
      <w:pPr>
        <w:spacing w:before="280" w:after="80"/>
      </w:pPr>
      <w:r>
        <w:rPr>
          <w:b/>
          <w:color w:val="1F4E79"/>
          <w:sz w:val="28"/>
        </w:rPr>
        <w:t>Part 10 — Create the Golden Record (10 min)</w:t>
      </w:r>
    </w:p>
    <w:p>
      <w:pPr>
        <w:spacing w:before="80" w:after="80"/>
        <w:ind w:left="227"/>
      </w:pPr>
      <w:r>
        <w:rPr>
          <w:b/>
          <w:color w:val="A35029"/>
        </w:rPr>
        <w:t xml:space="preserve">Teaching moment: </w:t>
      </w:r>
      <w:r>
        <w:t>This is the lab's single most important deliverable. Say it clearly: 'The Golden Record is your central example for the next two days. Every subsequent lab will reference it. Lab 2 adds Dynamic Forms visibility rules on it. Lab 3 connects it to an Asset. Lab 5 ties it to a Service Disruption. Day 2's Executive Scenario Simulation uses it as the F line disruption anchor. Keep this record.'</w:t>
      </w:r>
    </w:p>
    <w:p>
      <w:pPr>
        <w:spacing w:before="80" w:after="80"/>
        <w:ind w:left="227"/>
      </w:pPr>
      <w:r>
        <w:rPr>
          <w:b/>
          <w:color w:val="A35029"/>
        </w:rPr>
        <w:t xml:space="preserve">Teaching moment: </w:t>
      </w:r>
      <w:r>
        <w:t>The Account and Contact choices anchor the narrative. 'Account = MTA New York City Transit because our workshop story is an NYCT bus with components. Lab 3 will model an NYCT bus Asset. Lab 5 will use an F line (NYCT subway) disruption. One agency's story woven through the whole workshop.'</w:t>
      </w:r>
    </w:p>
    <w:p>
      <w:pPr>
        <w:spacing w:before="80" w:after="80"/>
        <w:ind w:left="227"/>
      </w:pPr>
      <w:r>
        <w:rPr>
          <w:b/>
          <w:color w:val="B8860B"/>
        </w:rPr>
        <w:t xml:space="preserve">Golden Record spec: </w:t>
      </w:r>
      <w:r>
        <w:t>Record Type = NYCT, Priority = P3 - Medium (default), Status = New, Type = Track Defect, Case Origin = Phone, Reported Date/Time = (auto), Subject = "Golden Record: Workshop reference case", Contact Name = (participant choice; MTA agency contacts preferred if available), Account Name = MTA New York City Transit.</w:t>
      </w:r>
    </w:p>
    <w:p>
      <w:pPr>
        <w:spacing w:before="80" w:after="80"/>
        <w:ind w:left="227"/>
      </w:pPr>
      <w:r>
        <w:rPr>
          <w:b/>
          <w:color w:val="8E44AD"/>
        </w:rPr>
        <w:t xml:space="preserve">Listen for: </w:t>
      </w:r>
      <w:r>
        <w:t>Someone asking "why do I need a specific Account?" Validate the question. "You don't technically need THIS specific Account for Lab 1 to work. But Lab 2 and later labs assume Contact and Account are populated on the Golden Record. Using MTA New York City Transit keeps our workshop story coherent."</w:t>
      </w:r>
    </w:p>
    <w:p>
      <w:pPr>
        <w:spacing w:before="80" w:after="80"/>
        <w:ind w:left="227"/>
      </w:pPr>
      <w:r>
        <w:rPr>
          <w:b/>
          <w:color w:val="C0392B"/>
        </w:rPr>
        <w:t xml:space="preserve">Common error: </w:t>
      </w:r>
      <w:r>
        <w:t>MTA New York City Transit isn't in the Account picker. The scaffolding didn't deploy the Accounts. Fix: follow the Part 10.1 'if missing' callout in the Participant guide. (This should be caught in pre-workshop setup, but might surface here.)</w:t>
      </w:r>
    </w:p>
    <w:p>
      <w:pPr>
        <w:spacing w:before="80" w:after="80"/>
        <w:ind w:left="227"/>
      </w:pPr>
      <w:r>
        <w:rPr>
          <w:b/>
          <w:color w:val="C0392B"/>
        </w:rPr>
        <w:t xml:space="preserve">Common error: </w:t>
      </w:r>
      <w:r>
        <w:t>Participant forgets to populate Case Origin (required field). Symptom: validation error on Save. Fix: scroll up, populate Case Origin, retry Save.</w:t>
      </w:r>
    </w:p>
    <w:p>
      <w:pPr>
        <w:spacing w:before="80" w:after="80"/>
        <w:ind w:left="227"/>
      </w:pPr>
      <w:r>
        <w:rPr>
          <w:b/>
          <w:color w:val="C0392B"/>
        </w:rPr>
        <w:t xml:space="preserve">Common error: </w:t>
      </w:r>
      <w:r>
        <w:t>Participant's Golden Record doesn't show Reported Date/Time or Resolution Notes on the canvas. They skipped Part 9. Fix: return to Part 9.</w:t>
      </w:r>
    </w:p>
    <w:p>
      <w:pPr>
        <w:spacing w:before="280" w:after="80"/>
      </w:pPr>
      <w:r>
        <w:rPr>
          <w:b/>
          <w:color w:val="1F4E79"/>
          <w:sz w:val="28"/>
        </w:rPr>
        <w:t>After Lab 01 — before Lab 02</w:t>
      </w:r>
    </w:p>
    <w:p>
      <w:r>
        <w:t>Fifteen minutes before Lab 02 starts, scan the room:</w:t>
      </w:r>
    </w:p>
    <w:p>
      <w:pPr>
        <w:pStyle w:val="ListBullet"/>
        <w:spacing w:after="40"/>
      </w:pPr>
      <w:r>
        <w:t>Who's finished with the Golden Record? Confirm they have one well-populated case with MTA New York City Transit as the Account.</w:t>
      </w:r>
    </w:p>
    <w:p>
      <w:pPr>
        <w:pStyle w:val="ListBullet"/>
        <w:spacing w:after="40"/>
      </w:pPr>
      <w:r>
        <w:t>Who's 2+ Parts behind? Offer a fallback: deploy the scaffolding to catch them up to the Case extension end-state, and create a Golden Record on their behalf.</w:t>
      </w:r>
    </w:p>
    <w:p>
      <w:pPr>
        <w:pStyle w:val="ListBullet"/>
        <w:spacing w:after="40"/>
      </w:pPr>
      <w:r>
        <w:t>What questions came up repeatedly? Address those once to the whole room before Lab 02.</w:t>
      </w:r>
    </w:p>
    <w:p>
      <w:pPr>
        <w:spacing w:before="280" w:after="80"/>
      </w:pPr>
      <w:r>
        <w:rPr>
          <w:b/>
          <w:color w:val="1F4E79"/>
          <w:sz w:val="28"/>
        </w:rPr>
        <w:t>Teaching register — Tim's reminder to self</w:t>
      </w:r>
    </w:p>
    <w:p>
      <w:r>
        <w:t>For Dynamic Forms specifically, use Definition then Constraint then Unlock:</w:t>
      </w:r>
    </w:p>
    <w:p>
      <w:pPr>
        <w:pStyle w:val="ListBullet"/>
        <w:spacing w:after="40"/>
      </w:pPr>
      <w:r>
        <w:t>Definition: Dynamic Forms is a Lightning record page feature that places individual Field components on the canvas.</w:t>
      </w:r>
    </w:p>
    <w:p>
      <w:pPr>
        <w:pStyle w:val="ListBullet"/>
        <w:spacing w:after="40"/>
      </w:pPr>
      <w:r>
        <w:t>Constraint: Dynamic Forms doesn't automatically mirror the classic page layout. You explicitly place each field.</w:t>
      </w:r>
    </w:p>
    <w:p>
      <w:pPr>
        <w:pStyle w:val="ListBullet"/>
        <w:spacing w:after="40"/>
      </w:pPr>
      <w:r>
        <w:t>Unlock: Fine-grained control over field placement, per-field visibility rules (Lab 2), per-field permissions.</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