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40"/>
        </w:rPr>
        <w:t>Lab 1.5 - Instructor Notes</w:t>
      </w:r>
    </w:p>
    <w:p>
      <w:pPr>
        <w:spacing w:after="240"/>
      </w:pPr>
      <w:r>
        <w:rPr>
          <w:i/>
          <w:color w:val="6A6A6A"/>
          <w:sz w:val="20"/>
        </w:rPr>
        <w:t>Load MTA Sample Data | ServicePulse 360 Workshop v0.7 (revision 1) | 10 min of participant time | about 15 min of instructor time if you present every teaching moment</w:t>
      </w:r>
    </w:p>
    <w:p>
      <w:pPr>
        <w:spacing w:before="280" w:after="80"/>
      </w:pPr>
      <w:r>
        <w:rPr>
          <w:b/>
          <w:color w:val="1F4E79"/>
          <w:sz w:val="28"/>
        </w:rPr>
        <w:t>Why this mini-lab exists</w:t>
      </w:r>
    </w:p>
    <w:p>
      <w:r>
        <w:t>Lab 1 teaches Case customization from a blank starting point. The downstream labs (2, 3, 7) and the Executive Scenario Simulation benefit from realistic sample data (10 MTA Cases, 4 Accounts, 4 Contacts) that participants did not have to create by hand. This mini-lab bridges Lab 1 and Lab 2 with a self-service bulk load using the Data Import Wizard. Each participant imports in parallel; no instructor orchestration needed.</w:t>
      </w:r>
    </w:p>
    <w:p>
      <w:pPr>
        <w:spacing w:before="280" w:after="80"/>
      </w:pPr>
      <w:r>
        <w:rPr>
          <w:b/>
          <w:color w:val="1F4E79"/>
          <w:sz w:val="28"/>
        </w:rPr>
        <w:t>Addresses the concept doc</w:t>
      </w:r>
    </w:p>
    <w:p>
      <w:r>
        <w:t>The original MTA concept doc called out 'Data Ingestion' as a Day 1 session at 3:00-3:45 PM, mapped to Data Loader and Data Import Wizard. Lab 1.5 delivers this teachable moment in a tighter, more participant-driven form.</w:t>
      </w:r>
    </w:p>
    <w:p>
      <w:pPr>
        <w:spacing w:before="280" w:after="80"/>
      </w:pPr>
      <w:r>
        <w:rPr>
          <w:b/>
          <w:color w:val="1F4E79"/>
          <w:sz w:val="28"/>
        </w:rPr>
        <w:t>Pacing</w:t>
      </w:r>
    </w:p>
    <w:p>
      <w:pPr>
        <w:pStyle w:val="ListBullet"/>
        <w:spacing w:after="40"/>
      </w:pPr>
      <w:r>
        <w:t>Part 1 (Accounts): 2 min</w:t>
      </w:r>
    </w:p>
    <w:p>
      <w:pPr>
        <w:pStyle w:val="ListBullet"/>
        <w:spacing w:after="40"/>
      </w:pPr>
      <w:r>
        <w:t>Part 2 (Contacts): 2 min</w:t>
      </w:r>
    </w:p>
    <w:p>
      <w:pPr>
        <w:pStyle w:val="ListBullet"/>
        <w:spacing w:after="40"/>
      </w:pPr>
      <w:r>
        <w:t>Part 3 (Cases): 4 min</w:t>
      </w:r>
    </w:p>
    <w:p>
      <w:pPr>
        <w:pStyle w:val="ListBullet"/>
        <w:spacing w:after="40"/>
      </w:pPr>
      <w:r>
        <w:t>Final verification: 1 min</w:t>
      </w:r>
    </w:p>
    <w:p>
      <w:pPr>
        <w:pStyle w:val="ListBullet"/>
        <w:spacing w:after="40"/>
      </w:pPr>
      <w:r>
        <w:t>Buffer / Q&amp;A: 1 min</w:t>
      </w:r>
    </w:p>
    <w:p>
      <w:pPr>
        <w:pStyle w:val="ListBullet"/>
        <w:spacing w:after="40"/>
      </w:pPr>
      <w:r>
        <w:t>Total: 10 min</w:t>
      </w:r>
    </w:p>
    <w:p>
      <w:pPr>
        <w:spacing w:before="280" w:after="80"/>
      </w:pPr>
      <w:r>
        <w:rPr>
          <w:b/>
          <w:color w:val="1F4E79"/>
          <w:sz w:val="28"/>
        </w:rPr>
        <w:t>Positioning before the mini-lab</w:t>
      </w:r>
    </w:p>
    <w:p>
      <w:pPr>
        <w:spacing w:before="80" w:after="80"/>
        <w:ind w:left="227"/>
      </w:pPr>
      <w:r>
        <w:rPr>
          <w:b/>
          <w:color w:val="A35029"/>
        </w:rPr>
        <w:t xml:space="preserve">Teaching moment: </w:t>
      </w:r>
      <w:r>
        <w:t>'In Lab 1 you built Case extensions and manually created one Golden Case. For the rest of today and tomorrow, your org benefits from more records to work with. Rather than manually create 18 more records (4 Accounts, 4 Contacts, 10 Cases), you'll use the Data Import Wizard. This is the native Salesforce tool for admin-level bulk imports up to 50,000 records at a time. Three imports, each about 2-4 minutes.'</w:t>
      </w:r>
    </w:p>
    <w:p>
      <w:pPr>
        <w:spacing w:before="80" w:after="80"/>
        <w:ind w:left="227"/>
      </w:pPr>
      <w:r>
        <w:rPr>
          <w:b/>
          <w:color w:val="A35029"/>
        </w:rPr>
        <w:t xml:space="preserve">Teaching moment: </w:t>
      </w:r>
      <w:r>
        <w:t>'Admins choose between three bulk-load tools based on scale and complexity: Data Import Wizard (up to 50k records, declarative, lives in Setup), Data Loader (desktop, up to 5M records, more control over error handling), and SOQL via Apex / APIs for integrations. Workshop participants use the Wizard today because it is the right tool for this volume and the right pattern for admin audiences.'</w:t>
      </w:r>
    </w:p>
    <w:p>
      <w:pPr>
        <w:spacing w:before="280" w:after="80"/>
      </w:pPr>
      <w:r>
        <w:rPr>
          <w:b/>
          <w:color w:val="1F4E79"/>
          <w:sz w:val="28"/>
        </w:rPr>
        <w:t>Part 1 - Load Accounts</w:t>
      </w:r>
    </w:p>
    <w:p>
      <w:pPr>
        <w:spacing w:before="80" w:after="80"/>
        <w:ind w:left="227"/>
      </w:pPr>
      <w:r>
        <w:rPr>
          <w:b/>
          <w:color w:val="C0392B"/>
        </w:rPr>
        <w:t xml:space="preserve">Common error: </w:t>
      </w:r>
      <w:r>
        <w:t>Participant picks 'Person Accounts' instead of 'Accounts and Contacts'. The Pronto org is not configured for Person Accounts; this tile may still render. Direct them to the correct tile.</w:t>
      </w:r>
    </w:p>
    <w:p>
      <w:pPr>
        <w:spacing w:before="80" w:after="80"/>
        <w:ind w:left="227"/>
      </w:pPr>
      <w:r>
        <w:rPr>
          <w:b/>
          <w:color w:val="C0392B"/>
        </w:rPr>
        <w:t xml:space="preserve">Common error: </w:t>
      </w:r>
      <w:r>
        <w:t>Column auto-mapping fails. Cause: the CSV header has an extra space or is in a different case. The Wizard shows unmapped columns with an orange icon; participant clicks Edit Mapping and picks the right field.</w:t>
      </w:r>
    </w:p>
    <w:p>
      <w:pPr>
        <w:spacing w:before="280" w:after="80"/>
      </w:pPr>
      <w:r>
        <w:rPr>
          <w:b/>
          <w:color w:val="1F4E79"/>
          <w:sz w:val="28"/>
        </w:rPr>
        <w:t>Part 2 - Load Contacts</w:t>
      </w:r>
    </w:p>
    <w:p>
      <w:pPr>
        <w:spacing w:before="80" w:after="80"/>
        <w:ind w:left="227"/>
      </w:pPr>
      <w:r>
        <w:rPr>
          <w:b/>
          <w:color w:val="A35029"/>
        </w:rPr>
        <w:t xml:space="preserve">Teaching moment: </w:t>
      </w:r>
      <w:r>
        <w:t>'Notice the Account Name mapping on the Contact. The Data Import Wizard automatically looks up the parent Account by name text (not by ID). This is how admin-level imports handle relationships without needing to export IDs first. Powerful but relies on name uniqueness; if two Accounts had the same name, the Wizard would ask you to pick.'</w:t>
      </w:r>
    </w:p>
    <w:p>
      <w:pPr>
        <w:spacing w:before="280" w:after="80"/>
      </w:pPr>
      <w:r>
        <w:rPr>
          <w:b/>
          <w:color w:val="1F4E79"/>
          <w:sz w:val="28"/>
        </w:rPr>
        <w:t>Part 3 - Load Cases</w:t>
      </w:r>
    </w:p>
    <w:p>
      <w:pPr>
        <w:spacing w:before="80" w:after="80"/>
        <w:ind w:left="227"/>
      </w:pPr>
      <w:r>
        <w:rPr>
          <w:b/>
          <w:color w:val="A35029"/>
        </w:rPr>
        <w:t xml:space="preserve">Teaching moment: </w:t>
      </w:r>
      <w:r>
        <w:t>'The Record Type column is why Lab 1 had to come first. If Record Types did not exist in your org yet, this import would fail because the Wizard cannot create Record Types on the fly. The dependency chain is Record Types first, then data that references them.'</w:t>
      </w:r>
    </w:p>
    <w:p>
      <w:pPr>
        <w:spacing w:before="80" w:after="80"/>
        <w:ind w:left="227"/>
      </w:pPr>
      <w:r>
        <w:rPr>
          <w:b/>
          <w:color w:val="8E44AD"/>
        </w:rPr>
        <w:t xml:space="preserve">Listen for: </w:t>
      </w:r>
      <w:r>
        <w:t>Someone asking 'how do I know which Record Type Developer Name to use?' Answer: 'Setup &gt; Object Manager &gt; Case &gt; Record Types. The Developer Name column is what the import matches on. In your CSV, Record Type values are NYCT, LIRR, MNR, and BandT (not B&amp;T, because the ampersand is not legal in a Developer Name).'</w:t>
      </w:r>
    </w:p>
    <w:p>
      <w:pPr>
        <w:spacing w:before="80" w:after="80"/>
        <w:ind w:left="227"/>
      </w:pPr>
      <w:r>
        <w:rPr>
          <w:b/>
          <w:color w:val="C0392B"/>
        </w:rPr>
        <w:t xml:space="preserve">Common error: </w:t>
      </w:r>
      <w:r>
        <w:t>Record Type column mapped correctly but Cases load with blank Record Type. Cause: the CSV value does not match the Developer Name exactly. Fix: open the CSV, confirm BandT (not B&amp;T, not B_T, not B and T).</w:t>
      </w:r>
    </w:p>
    <w:p>
      <w:pPr>
        <w:spacing w:before="80" w:after="80"/>
        <w:ind w:left="227"/>
      </w:pPr>
      <w:r>
        <w:rPr>
          <w:b/>
          <w:color w:val="C0392B"/>
        </w:rPr>
        <w:t xml:space="preserve">Common error: </w:t>
      </w:r>
      <w:r>
        <w:t>Import summary email never arrives. Cause: participant's email is a dev-org disposable address that rejects Salesforce notifications. Workaround: refresh the Cases tab and check manually. The import still happens; just no email receipt.</w:t>
      </w:r>
    </w:p>
    <w:p>
      <w:pPr>
        <w:spacing w:before="280" w:after="80"/>
      </w:pPr>
      <w:r>
        <w:rPr>
          <w:b/>
          <w:color w:val="1F4E79"/>
          <w:sz w:val="28"/>
        </w:rPr>
        <w:t>After the mini-lab</w:t>
      </w:r>
    </w:p>
    <w:p>
      <w:pPr>
        <w:pStyle w:val="ListBullet"/>
        <w:spacing w:after="40"/>
      </w:pPr>
      <w:r>
        <w:t>Participants have 11 total Cases in their org (10 seeded + 1 Golden). Lab 2 Related Lists will show other Cases in the agency Related List - Single, which is a stronger demo than one Case alone.</w:t>
      </w:r>
    </w:p>
    <w:p>
      <w:pPr>
        <w:pStyle w:val="ListBullet"/>
        <w:spacing w:after="40"/>
      </w:pPr>
      <w:r>
        <w:t>Lab 3 will link the Golden Case to the Asset. The seed Cases stay separate and give the Asset's Related List context when touched.</w:t>
      </w:r>
    </w:p>
    <w:p>
      <w:pPr>
        <w:pStyle w:val="ListBullet"/>
        <w:spacing w:after="40"/>
      </w:pPr>
      <w:r>
        <w:t>Lab 7's Agentforce agent has real Cases to classify and reason about.</w:t>
      </w:r>
    </w:p>
    <w:p>
      <w:pPr>
        <w:pStyle w:val="ListBullet"/>
        <w:spacing w:after="40"/>
      </w:pPr>
      <w:r>
        <w:t>The Executive Scenario Simulation's Inject 2 ('an existing MNR Case tied to the Hudson Line') uses one of the seeded MNR Cases.</w:t>
      </w:r>
    </w:p>
    <w:p>
      <w:pPr>
        <w:spacing w:before="280" w:after="80"/>
      </w:pPr>
      <w:r>
        <w:rPr>
          <w:b/>
          <w:color w:val="1F4E79"/>
          <w:sz w:val="28"/>
        </w:rPr>
        <w:t>Troubleshooting a failed import</w:t>
      </w:r>
    </w:p>
    <w:p>
      <w:pPr>
        <w:spacing w:before="80" w:after="80"/>
        <w:ind w:left="227"/>
      </w:pPr>
      <w:r>
        <w:rPr>
          <w:b/>
          <w:color w:val="B45F06"/>
        </w:rPr>
        <w:t xml:space="preserve">Watch out: </w:t>
      </w:r>
      <w:r>
        <w:t>If a participant's import fails for a reason you cannot resolve in under 2 minutes, have them continue to Lab 2 without the sample data. Their Related List will show only their Golden Case. Lab 2 content still works; they can import later during a break. Do not let an import issue stall the whole room.</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