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Marcus Chen</w:t>
      </w:r>
      <w:bookmarkEnd w:id="0"/>
    </w:p>
    <w:p>
      <w:pPr/>
      <w:r>
        <w:rPr/>
        <w:t xml:space="preserve">Financial Analyst | New York, NY</w:t>
      </w:r>
    </w:p>
    <w:p>
      <w:pPr/>
      <w:r>
        <w:rPr/>
        <w:t xml:space="preserve">marcus.chen@example.com | +1 212 555 0144</w:t>
      </w:r>
    </w:p>
    <w:p/>
    <w:p>
      <w:bookmarkStart w:id="1" w:name="_Toc1"/>
      <w:r>
        <w:t>Experience</w:t>
      </w:r>
      <w:bookmarkEnd w:id="1"/>
    </w:p>
    <w:p>
      <w:pPr/>
      <w:r>
        <w:rPr/>
        <w:t xml:space="preserve">Harbor Capital - Senior Financial Analyst (2019 - Present)</w:t>
      </w:r>
    </w:p>
    <w:p>
      <w:pPr/>
      <w:r>
        <w:rPr/>
        <w:t xml:space="preserve">Built quarterly forecasting models for $2.1B AUM portfolio.</w:t>
      </w:r>
    </w:p>
    <w:p>
      <w:pPr/>
      <w:r>
        <w:rPr/>
        <w:t xml:space="preserve">Lexington Partners - Analyst (2016 - 2019)</w:t>
      </w:r>
    </w:p>
    <w:p/>
    <w:p>
      <w:bookmarkStart w:id="2" w:name="_Toc2"/>
      <w:r>
        <w:t>Education</w:t>
      </w:r>
      <w:bookmarkEnd w:id="2"/>
    </w:p>
    <w:p>
      <w:pPr/>
      <w:r>
        <w:rPr/>
        <w:t xml:space="preserve">MBA Finance, NYU Stern, 2016</w:t>
      </w:r>
    </w:p>
    <w:p>
      <w:pPr/>
      <w:r>
        <w:rPr/>
        <w:t xml:space="preserve">BSc Economics, Boston University, 2014</w:t>
      </w:r>
    </w:p>
    <w:p/>
    <w:p>
      <w:bookmarkStart w:id="3" w:name="_Toc3"/>
      <w:r>
        <w:t>Skills</w:t>
      </w:r>
      <w:bookmarkEnd w:id="3"/>
    </w:p>
    <w:p>
      <w:pPr/>
      <w:r>
        <w:rPr/>
        <w:t xml:space="preserve">Excel, SQL, Python, financial modelling, valuation, Power BI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2026-07-08T08:36:31+00:00</dcterms:created>
  <dcterms:modified xsi:type="dcterms:W3CDTF">2026-07-08T08:36:31+00:00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