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CreateShaderProgram(vsCode,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br/>
      </w:r>
      <w:r w:rsidRPr="006C21E8">
        <w:rPr>
          <w:b/>
          <w:color w:val="FF3300"/>
        </w:rPr>
        <w:t>+</w:t>
      </w:r>
      <w:r w:rsidR="00DB0CC7">
        <w:t xml:space="preserve"> </w:t>
      </w:r>
      <w:r>
        <w:t xml:space="preserve"> </w:t>
      </w:r>
      <w:r w:rsidR="00521626">
        <w:rPr>
          <w:color w:val="0000FF"/>
        </w:rPr>
        <w:t>sizeof</w:t>
      </w:r>
      <w:r w:rsidR="00521626">
        <w:t>(indices)/</w:t>
      </w:r>
      <w:r w:rsidR="00521626">
        <w:rPr>
          <w:color w:val="0000FF"/>
        </w:rPr>
        <w:t>sizeof</w:t>
      </w:r>
      <w:r w:rsidR="00EA16E0">
        <w:t xml:space="preserve">(indices[0]),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B4375A">
        <w:rPr>
          <w:rFonts w:hint="eastAsia"/>
        </w:rPr>
        <w:t>GLuint</w:t>
      </w:r>
      <w:r w:rsidR="00B4375A">
        <w:rPr>
          <w:rFonts w:hint="eastAsia"/>
        </w:rPr>
        <w:t>型なので、</w:t>
      </w:r>
      <w:r w:rsidR="00B4375A">
        <w:rPr>
          <w:rFonts w:hint="eastAsia"/>
        </w:rPr>
        <w:t>GL_UNSIGNED_INT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3676015" cy="2889250"/>
            <wp:effectExtent l="0" t="0" r="635" b="635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015" cy="2889250"/>
                    </a:xfrm>
                    <a:prstGeom prst="rect">
                      <a:avLst/>
                    </a:prstGeom>
                    <a:noFill/>
                    <a:ln>
                      <a:noFill/>
                    </a:ln>
                  </pic:spPr>
                </pic:pic>
              </a:graphicData>
            </a:graphic>
          </wp:inline>
        </w:drawing>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3675888" cy="2881131"/>
            <wp:effectExtent l="0" t="0" r="127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931" cy="2887435"/>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lastRenderedPageBreak/>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っローカル座標系であり、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7D7147" w:rsidP="009E41E5">
      <w:r>
        <w:rPr>
          <w:rFonts w:hint="eastAsia"/>
        </w:rPr>
        <w:t>ここまでクリップ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Pr>
          <w:rFonts w:hint="eastAsia"/>
        </w:rPr>
        <w:t>と座標の積として表わされます</w:t>
      </w:r>
      <w:r w:rsidR="009E41E5">
        <w:rPr>
          <w:rFonts w:hint="eastAsia"/>
        </w:rPr>
        <w:t>。</w:t>
      </w:r>
      <w:r w:rsidR="00297189">
        <w:br/>
      </w:r>
      <w:r>
        <w:t>行列と座標、あるいは行列と行列の演算はかなり面倒です。しかも、これから頻繁に使っていくことになります。こういった計算は、</w:t>
      </w:r>
      <w:r w:rsidR="00297189">
        <w:t>ライブラリ</w:t>
      </w:r>
      <w:r>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lastRenderedPageBreak/>
        <w:drawing>
          <wp:inline distT="0" distB="0" distL="0" distR="0">
            <wp:extent cx="3730752" cy="2928852"/>
            <wp:effectExtent l="0" t="0" r="3175" b="5080"/>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752" cy="2928852"/>
                    </a:xfrm>
                    <a:prstGeom prst="rect">
                      <a:avLst/>
                    </a:prstGeom>
                    <a:noFill/>
                    <a:ln>
                      <a:noFill/>
                    </a:ln>
                  </pic:spPr>
                </pic:pic>
              </a:graphicData>
            </a:graphic>
          </wp:inline>
        </w:drawing>
      </w:r>
    </w:p>
    <w:p w:rsidR="00AE4F22" w:rsidRPr="00322F72" w:rsidRDefault="00AE4F22" w:rsidP="00322F72">
      <w:pPr>
        <w:pStyle w:val="2"/>
      </w:pPr>
      <w:r>
        <w:rPr>
          <w:rFonts w:hint="eastAsia"/>
        </w:rPr>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lastRenderedPageBreak/>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lastRenderedPageBreak/>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w:t>
      </w:r>
      <w:r w:rsidR="00C30888">
        <w:rPr>
          <w:rFonts w:hint="eastAsia"/>
        </w:rPr>
        <w:t>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w:t>
      </w:r>
      <w:r>
        <w:t>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pPr>
        <w:rPr>
          <w:rFonts w:hint="eastAsia"/>
        </w:rPr>
      </w:pPr>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380076" w:rsidRPr="00904063">
        <w:rPr>
          <w:color w:val="FF0000"/>
        </w:rPr>
        <w:br/>
      </w:r>
      <w:r w:rsidR="00A242B7" w:rsidRPr="00904063">
        <w:rPr>
          <w:b/>
          <w:color w:val="FF0000"/>
        </w:rPr>
        <w:t>-</w:t>
      </w:r>
      <w:r w:rsidR="00A242B7" w:rsidRPr="00904063">
        <w:rPr>
          <w:color w:val="FF0000"/>
        </w:rPr>
        <w:t xml:space="preserve">  sizeof(indices)/sizeof(indices[0]),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A242B7">
        <w:br/>
      </w:r>
      <w:r w:rsidR="00A242B7">
        <w:rPr>
          <w:b/>
          <w:color w:val="FF3300"/>
        </w:rPr>
        <w:t>+</w:t>
      </w:r>
      <w:r w:rsidR="00A242B7" w:rsidRPr="00A242B7">
        <w:rPr>
          <w:color w:val="auto"/>
        </w:rPr>
        <w:t xml:space="preserve">  mesh</w:t>
      </w:r>
      <w:r w:rsidR="00A242B7">
        <w:rPr>
          <w:color w:val="auto"/>
        </w:rPr>
        <w:t xml:space="preserve">List[0].count,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A41BD2" w:rsidRPr="002518EC">
        <w:rPr>
          <w:color w:val="FF0000"/>
        </w:rPr>
        <w:br/>
      </w:r>
      <w:r w:rsidR="00A41BD2" w:rsidRPr="002518EC">
        <w:rPr>
          <w:b/>
          <w:color w:val="FF0000"/>
        </w:rPr>
        <w:t>-</w:t>
      </w:r>
      <w:r w:rsidR="00CB23B1" w:rsidRPr="002518EC">
        <w:rPr>
          <w:color w:val="FF0000"/>
        </w:rPr>
        <w:t xml:space="preserve"> </w:t>
      </w:r>
      <w:r w:rsidR="00A41BD2" w:rsidRPr="002518EC">
        <w:rPr>
          <w:color w:val="FF0000"/>
        </w:rPr>
        <w:t xml:space="preserve"> </w:t>
      </w:r>
      <w:r w:rsidR="00CB23B1" w:rsidRPr="002518EC">
        <w:rPr>
          <w:color w:val="FF0000"/>
        </w:rPr>
        <w:t>meshList[0].count, GL_UNSIGNED_SHORT, meshList[0].indices, meshList[0].baseVertex);</w:t>
      </w:r>
      <w:r w:rsidR="00F443DF">
        <w:br/>
      </w:r>
      <w:r w:rsidR="002518EC">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2518EC">
        <w:br/>
      </w:r>
      <w:r w:rsidR="002518EC">
        <w:rPr>
          <w:b/>
          <w:color w:val="FF0000"/>
        </w:rPr>
        <w:t>+</w:t>
      </w:r>
      <w:r w:rsidR="00F443DF">
        <w:t xml:space="preserve"> </w:t>
      </w:r>
      <w:r w:rsidR="002518EC">
        <w:t xml:space="preserve">  </w:t>
      </w:r>
      <w:r w:rsidR="00721169">
        <w:t xml:space="preserve"> </w:t>
      </w:r>
      <w:r w:rsidR="00F443DF">
        <w:t xml:space="preserve">meshList[0].count,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4175A2" w:rsidRDefault="004F3C01" w:rsidP="004F3C01">
      <w:pPr>
        <w:pStyle w:val="2"/>
      </w:pPr>
      <w:r>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lastRenderedPageBreak/>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pPr>
        <w:rPr>
          <w:rFonts w:hint="eastAsia"/>
        </w:rPr>
      </w:pPr>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w:t>
      </w:r>
      <w:r w:rsidR="00EF28A4">
        <w:rPr>
          <w:rFonts w:hint="eastAsia"/>
        </w:rPr>
        <w:t>家の頂点データ</w:t>
      </w:r>
      <w:r w:rsidR="00EF28A4">
        <w:rPr>
          <w:rFonts w:hint="eastAsia"/>
        </w:rPr>
        <w:t>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bookmarkStart w:id="0" w:name="_GoBack"/>
      <w:bookmarkEnd w:id="0"/>
      <w:r w:rsidR="00EF28A4">
        <w:rPr>
          <w:rFonts w:hint="eastAsia"/>
        </w:rPr>
        <w:t>。</w:t>
      </w:r>
    </w:p>
    <w:p w:rsidR="004F3C01" w:rsidRDefault="008B0B3A" w:rsidP="004175A2">
      <w:r>
        <w:rPr>
          <w:rFonts w:hint="eastAsia"/>
        </w:rPr>
        <w:t>最後に、追加した描画データを使って家を建てます。</w:t>
      </w:r>
      <w:r>
        <w:br/>
      </w:r>
      <w:r>
        <w:t>メインループに次のプログラムを追加してください。</w:t>
      </w:r>
    </w:p>
    <w:p w:rsidR="008B0B3A" w:rsidRPr="006F3D47" w:rsidRDefault="008B0B3A" w:rsidP="008B0B3A">
      <w:pPr>
        <w:pStyle w:val="ac"/>
      </w:pPr>
      <w:r>
        <w:lastRenderedPageBreak/>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br/>
        <w:t xml:space="preserve">     meshList[0].count,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br/>
      </w:r>
      <w:r w:rsidRPr="00222144">
        <w:rPr>
          <w:b/>
          <w:color w:val="FF0000"/>
        </w:rPr>
        <w:t>+</w:t>
      </w:r>
      <w:r>
        <w:t xml:space="preserve">    meshList[1].count,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630498" w:rsidRDefault="00421564" w:rsidP="004175A2">
      <w:r>
        <w:t>家を建てる場所は</w:t>
      </w:r>
      <w:r w:rsidR="00457A7B">
        <w:t>ワールド座標の原点としました。</w:t>
      </w:r>
    </w:p>
    <w:p w:rsidR="00A7515A" w:rsidRDefault="00457A7B" w:rsidP="004175A2">
      <w:r>
        <w:rPr>
          <w:rFonts w:hint="eastAsia"/>
        </w:rPr>
        <w:t>プログラムが書けたら、</w:t>
      </w:r>
      <w:r w:rsidRPr="00457A7B">
        <w:rPr>
          <w:rFonts w:hint="eastAsia"/>
          <w:b/>
        </w:rPr>
        <w:t>ビルドして実行してください。</w:t>
      </w:r>
      <w:r>
        <w:br/>
      </w:r>
      <w:r>
        <w:t>木に囲まれた中央に家が建てられていれば成功です。</w:t>
      </w:r>
    </w:p>
    <w:p w:rsidR="00F8314E" w:rsidRPr="00F8314E" w:rsidRDefault="00F8314E" w:rsidP="00F8314E">
      <w:pPr>
        <w:jc w:val="center"/>
      </w:pPr>
      <w:r>
        <w:rPr>
          <w:rFonts w:hint="eastAsia"/>
          <w:noProof/>
        </w:rPr>
        <w:drawing>
          <wp:inline distT="0" distB="0" distL="0" distR="0">
            <wp:extent cx="3945210" cy="31089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a:extLst>
                        <a:ext uri="{28A0092B-C50C-407E-A947-70E740481C1C}">
                          <a14:useLocalDpi xmlns:a14="http://schemas.microsoft.com/office/drawing/2010/main" val="0"/>
                        </a:ext>
                      </a:extLst>
                    </a:blip>
                    <a:stretch>
                      <a:fillRect/>
                    </a:stretch>
                  </pic:blipFill>
                  <pic:spPr>
                    <a:xfrm>
                      <a:off x="0" y="0"/>
                      <a:ext cx="3958633" cy="3119538"/>
                    </a:xfrm>
                    <a:prstGeom prst="rect">
                      <a:avLst/>
                    </a:prstGeom>
                  </pic:spPr>
                </pic:pic>
              </a:graphicData>
            </a:graphic>
          </wp:inline>
        </w:drawing>
      </w:r>
    </w:p>
    <w:p w:rsidR="0032588B" w:rsidRDefault="0032588B" w:rsidP="00630498">
      <w:pPr>
        <w:pStyle w:val="af8"/>
        <w:rPr>
          <w:b/>
        </w:rPr>
      </w:pPr>
      <w:r w:rsidRPr="00457A7B">
        <w:rPr>
          <w:rFonts w:hint="eastAsia"/>
          <w:b/>
        </w:rPr>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DA0E0B" w:rsidRPr="00AE4F22" w:rsidRDefault="00DA0E0B" w:rsidP="00932E3B">
      <w:pPr>
        <w:pStyle w:val="af8"/>
        <w:rPr>
          <w:rFonts w:hint="eastAsia"/>
        </w:rPr>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33B" w:rsidRDefault="0018033B" w:rsidP="00CD150E">
      <w:pPr>
        <w:spacing w:after="0" w:line="240" w:lineRule="auto"/>
      </w:pPr>
      <w:r>
        <w:separator/>
      </w:r>
    </w:p>
  </w:endnote>
  <w:endnote w:type="continuationSeparator" w:id="0">
    <w:p w:rsidR="0018033B" w:rsidRDefault="0018033B"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F28A4">
      <w:rPr>
        <w:b/>
        <w:bCs/>
        <w:noProof/>
      </w:rPr>
      <w:t>22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F28A4">
      <w:rPr>
        <w:b/>
        <w:bCs/>
        <w:noProof/>
      </w:rPr>
      <w:t>24</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33B" w:rsidRDefault="0018033B" w:rsidP="00CD150E">
      <w:pPr>
        <w:spacing w:after="0" w:line="240" w:lineRule="auto"/>
      </w:pPr>
      <w:r>
        <w:separator/>
      </w:r>
    </w:p>
  </w:footnote>
  <w:footnote w:type="continuationSeparator" w:id="0">
    <w:p w:rsidR="0018033B" w:rsidRDefault="0018033B"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61F37"/>
    <w:rsid w:val="00062213"/>
    <w:rsid w:val="00062AC4"/>
    <w:rsid w:val="00063B42"/>
    <w:rsid w:val="00080578"/>
    <w:rsid w:val="000856A1"/>
    <w:rsid w:val="00085BE4"/>
    <w:rsid w:val="00093265"/>
    <w:rsid w:val="000935DC"/>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64A9A"/>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F72"/>
    <w:rsid w:val="0032588B"/>
    <w:rsid w:val="00325CDC"/>
    <w:rsid w:val="00327E83"/>
    <w:rsid w:val="003351A8"/>
    <w:rsid w:val="003434D7"/>
    <w:rsid w:val="00343AA1"/>
    <w:rsid w:val="00357F2F"/>
    <w:rsid w:val="00360526"/>
    <w:rsid w:val="003612FE"/>
    <w:rsid w:val="00362261"/>
    <w:rsid w:val="00373A5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FF3"/>
    <w:rsid w:val="00521626"/>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1275"/>
    <w:rsid w:val="00793518"/>
    <w:rsid w:val="007A56DB"/>
    <w:rsid w:val="007A70ED"/>
    <w:rsid w:val="007B6CA2"/>
    <w:rsid w:val="007C0077"/>
    <w:rsid w:val="007C3AAD"/>
    <w:rsid w:val="007C3F3B"/>
    <w:rsid w:val="007C65D7"/>
    <w:rsid w:val="007C6763"/>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5000</TotalTime>
  <Pages>24</Pages>
  <Words>4296</Words>
  <Characters>24491</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407</cp:revision>
  <dcterms:created xsi:type="dcterms:W3CDTF">2018-09-27T19:25:00Z</dcterms:created>
  <dcterms:modified xsi:type="dcterms:W3CDTF">2018-10-04T08:24:00Z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