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D84299">
      <w:pPr>
        <w:pStyle w:val="a3"/>
        <w:rPr>
          <w:lang w:val="ja-JP"/>
        </w:rPr>
      </w:pPr>
      <w:r>
        <w:rPr>
          <w:lang w:val="ja-JP"/>
        </w:rPr>
        <w:t>フラグメントは</w:t>
      </w:r>
      <w:r w:rsidR="00BC2ED2">
        <w:rPr>
          <w:lang w:val="ja-JP"/>
        </w:rPr>
        <w:t>スポット</w:t>
      </w:r>
      <w:bookmarkStart w:id="0" w:name="_GoBack"/>
      <w:bookmarkEnd w:id="0"/>
      <w:r>
        <w:rPr>
          <w:lang w:val="ja-JP"/>
        </w:rPr>
        <w:t>ライト</w:t>
      </w:r>
      <w:r w:rsidR="00432717">
        <w:rPr>
          <w:lang w:val="ja-JP"/>
        </w:rPr>
        <w:t>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w:t>
      </w:r>
      <w:r w:rsidR="004C6B68">
        <w:t xml:space="preserve">vColor.rgb * </w:t>
      </w:r>
      <w:r w:rsidR="002C7119">
        <w:t>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w:t>
      </w:r>
      <w:r w:rsidRPr="00246989">
        <w:rPr>
          <w:color w:val="FF0000"/>
          <w:highlight w:val="yellow"/>
        </w:rPr>
        <w:t>Simple</w:t>
      </w:r>
      <w:r w:rsidRPr="00A8025E">
        <w:rPr>
          <w:color w:val="FF0000"/>
        </w:rPr>
        <w:t>.vert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w:t>
      </w:r>
      <w:r w:rsidRPr="00246989">
        <w:rPr>
          <w:color w:val="FF0000"/>
          <w:highlight w:val="yellow"/>
        </w:rPr>
        <w:t>Simple</w:t>
      </w:r>
      <w:r>
        <w:rPr>
          <w:color w:val="FF0000"/>
        </w:rPr>
        <w:t>.</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w:t>
      </w:r>
      <w:r w:rsidR="00B46FEA">
        <w:t>intensity</w:t>
      </w:r>
      <w:r w:rsidR="00E54B45">
        <w:t>;</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0219F3">
        <w:rPr>
          <w:rFonts w:hint="eastAsia"/>
          <w:color w:val="008000"/>
        </w:rPr>
        <w:t>指向性ライトの明るさを計算</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0219F3">
        <w:rPr>
          <w:rFonts w:hint="eastAsia"/>
          <w:color w:val="008000"/>
        </w:rPr>
        <w:t>ポイントライトの明るさを計算</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w:t>
      </w:r>
      <w:r w:rsidR="00B46FEA">
        <w:t>intensity</w:t>
      </w:r>
      <w:r w:rsidR="00A82333">
        <w:t>;</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 xml:space="preserve">lightColor += pointLight.color[i] * cosTheta * </w:t>
      </w:r>
      <w:r w:rsidR="00B46FEA">
        <w:t>intensity</w:t>
      </w:r>
      <w:r w:rsidR="008919A8">
        <w:t>;</w:t>
      </w:r>
      <w:r w:rsidR="008919A8">
        <w:br/>
        <w:t xml:space="preserve">     }</w:t>
      </w:r>
      <w:r w:rsidR="008919A8">
        <w:br/>
      </w:r>
      <w:r w:rsidR="008919A8">
        <w:rPr>
          <w:rFonts w:hint="eastAsia"/>
          <w:color w:val="FF0000"/>
        </w:rPr>
        <w:t xml:space="preserve">　</w:t>
      </w:r>
      <w:r w:rsidR="008919A8">
        <w:t xml:space="preserve">  }</w:t>
      </w:r>
      <w:r w:rsidR="008919A8">
        <w:br/>
      </w:r>
      <w:r w:rsidR="00537A90">
        <w:rPr>
          <w:color w:val="FF0000"/>
        </w:rPr>
        <w:br/>
      </w:r>
      <w:r w:rsidR="00537A90" w:rsidRPr="00E54B45">
        <w:rPr>
          <w:rFonts w:hint="eastAsia"/>
          <w:color w:val="FF0000"/>
        </w:rPr>
        <w:t>+</w:t>
      </w:r>
      <w:r w:rsidR="00537A90">
        <w:rPr>
          <w:rFonts w:hint="eastAsia"/>
          <w:color w:val="FF0000"/>
        </w:rPr>
        <w:t xml:space="preserve">　　</w:t>
      </w:r>
      <w:r w:rsidR="00537A90">
        <w:rPr>
          <w:color w:val="008000"/>
        </w:rPr>
        <w:t xml:space="preserve">// </w:t>
      </w:r>
      <w:r w:rsidR="00537A90">
        <w:rPr>
          <w:rFonts w:hint="eastAsia"/>
          <w:color w:val="008000"/>
        </w:rPr>
        <w:t>アンビエント</w:t>
      </w:r>
      <w:r w:rsidR="000219F3">
        <w:rPr>
          <w:rFonts w:hint="eastAsia"/>
          <w:color w:val="008000"/>
        </w:rPr>
        <w:t>ライトの明るさを計算</w:t>
      </w:r>
      <w:r w:rsidR="00537A90">
        <w:rPr>
          <w:color w:val="008000"/>
        </w:rPr>
        <w:t>.</w:t>
      </w:r>
      <w:r w:rsidR="00537A90">
        <w:rPr>
          <w:color w:val="FF0000"/>
        </w:rPr>
        <w:br/>
      </w:r>
      <w:r w:rsidR="00537A90" w:rsidRPr="00E54B45">
        <w:rPr>
          <w:rFonts w:hint="eastAsia"/>
          <w:color w:val="FF0000"/>
        </w:rPr>
        <w:t>+</w:t>
      </w:r>
      <w:r w:rsidR="00537A90" w:rsidRPr="00537A90">
        <w:t xml:space="preserve"> </w:t>
      </w:r>
      <w:r w:rsidR="00537A90">
        <w:t xml:space="preserve"> lightColor += ambientLight.color;</w:t>
      </w:r>
      <w:r w:rsidR="00537A90">
        <w:br/>
      </w:r>
      <w:r w:rsidR="00537A90" w:rsidRPr="00E54B45">
        <w:rPr>
          <w:rFonts w:hint="eastAsia"/>
          <w:color w:val="FF0000"/>
        </w:rPr>
        <w:t>+</w:t>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5B68B5">
        <w:t>;</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計算を行うかが違うだけで、</w:t>
      </w:r>
      <w:r w:rsidR="00C566AB">
        <w:t>明るさの</w:t>
      </w:r>
      <w:r>
        <w:t>計算式</w:t>
      </w:r>
      <w:r w:rsidR="005B68B5">
        <w:t>は同じです</w:t>
      </w:r>
      <w:r w:rsidR="00C566AB">
        <w:t>。だ</w:t>
      </w:r>
      <w:r>
        <w:t>から、</w:t>
      </w:r>
      <w:r w:rsidR="00537A90">
        <w:t>コピーし</w:t>
      </w:r>
      <w:r w:rsidR="00537A90">
        <w:rPr>
          <w:rFonts w:hint="eastAsia"/>
        </w:rPr>
        <w:t>た</w:t>
      </w:r>
      <w:r w:rsidR="005B68B5">
        <w:t>プログラムを少</w:t>
      </w:r>
      <w:r w:rsidR="00537A90">
        <w:t>し</w:t>
      </w:r>
      <w:r w:rsidR="005B68B5">
        <w:t>変更するだけで</w:t>
      </w:r>
      <w:r>
        <w:rPr>
          <w:rFonts w:hint="eastAsia"/>
        </w:rPr>
        <w:t>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sidR="004D27D5">
        <w:rPr>
          <w:color w:val="FF0000"/>
        </w:rPr>
        <w:t xml:space="preserve"> </w:t>
      </w:r>
      <w:r w:rsidR="004D27D5">
        <w:rPr>
          <w:rFonts w:hint="eastAsia"/>
          <w:color w:val="FF0000"/>
        </w:rPr>
        <w:t xml:space="preserve">　　</w:t>
      </w:r>
      <w:r w:rsidR="004D27D5">
        <w:rPr>
          <w:color w:val="008000"/>
        </w:rPr>
        <w:t xml:space="preserve">// </w:t>
      </w:r>
      <w:r w:rsidR="004D27D5">
        <w:rPr>
          <w:rFonts w:hint="eastAsia"/>
          <w:color w:val="008000"/>
        </w:rPr>
        <w:t>アンビエントライトの明るさを計算</w:t>
      </w:r>
      <w:r w:rsidR="004D27D5">
        <w:rPr>
          <w:color w:val="008000"/>
        </w:rPr>
        <w:t>.</w:t>
      </w:r>
      <w:r w:rsidR="004D27D5">
        <w:rPr>
          <w:color w:val="FF0000"/>
        </w:rPr>
        <w:br/>
        <w:t xml:space="preserve"> </w:t>
      </w:r>
      <w:r w:rsidR="004D27D5" w:rsidRPr="00537A90">
        <w:t xml:space="preserve"> </w:t>
      </w:r>
      <w:r w:rsidR="004D27D5">
        <w:t xml:space="preserve"> lightColor += ambientLight.color;</w:t>
      </w:r>
      <w:r w:rsidR="004D27D5">
        <w:br/>
      </w:r>
      <w:r w:rsidR="004D27D5">
        <w:rPr>
          <w:color w:val="FF0000"/>
        </w:rP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rsidR="003F67D1">
        <w:t>= 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lastRenderedPageBreak/>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要素に格納されているので、この部分だけを取り出しています。この値が放射角のコサイン</w:t>
      </w:r>
      <w:r w:rsidR="001855E7">
        <w:t>(dirAndCutOff</w:t>
      </w:r>
      <w:r w:rsidR="001855E7">
        <w:t>の</w:t>
      </w:r>
      <w:r w:rsidR="001855E7">
        <w:t>w</w:t>
      </w:r>
      <w:r w:rsidR="001855E7">
        <w:t>要素に格納されています</w:t>
      </w:r>
      <w:r w:rsidR="001855E7">
        <w:t>)</w:t>
      </w:r>
      <w:r w:rsidR="001855E7">
        <w:t>より小さくなったら、光が当たらなくなります。なお、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w:t>
      </w:r>
      <w:r w:rsidR="00731959">
        <w:t>、</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0F3382">
        <w:rPr>
          <w:rFonts w:hint="eastAsia"/>
        </w:rPr>
        <w:t>の</w:t>
      </w:r>
      <w:r w:rsidR="00A57969">
        <w:rPr>
          <w:rFonts w:hint="eastAsia"/>
        </w:rPr>
        <w:t>取りうる値です。</w:t>
      </w:r>
      <w:r w:rsidR="00502570">
        <w:t>edge0</w:t>
      </w:r>
      <w:r w:rsidR="00502570">
        <w:t>から</w:t>
      </w:r>
      <w:r w:rsidR="00502570">
        <w:rPr>
          <w:rFonts w:hint="eastAsia"/>
        </w:rPr>
        <w:t>edge1</w:t>
      </w:r>
      <w:r w:rsidR="00502570">
        <w:rPr>
          <w:rFonts w:hint="eastAsia"/>
        </w:rPr>
        <w:t>にかけて、徐々に数値が</w:t>
      </w:r>
      <w:r w:rsidR="00502570">
        <w:rPr>
          <w:rFonts w:hint="eastAsia"/>
        </w:rPr>
        <w:t>1</w:t>
      </w:r>
      <w:r w:rsidR="00502570">
        <w:rPr>
          <w:rFonts w:hint="eastAsia"/>
        </w:rPr>
        <w:t>に近づいているのが分かりますね。</w:t>
      </w:r>
    </w:p>
    <w:p w:rsidR="00A57969" w:rsidRDefault="00A57969" w:rsidP="00A57969">
      <w:pPr>
        <w:jc w:val="center"/>
      </w:pPr>
      <w:r>
        <w:rPr>
          <w:rFonts w:hint="eastAsia"/>
          <w:noProof/>
        </w:rPr>
        <w:drawing>
          <wp:inline distT="0" distB="0" distL="0" distR="0">
            <wp:extent cx="1793631" cy="198102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1818557" cy="2008555"/>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sidR="00502570">
        <w:rPr>
          <w:rFonts w:hint="eastAsia"/>
        </w:rPr>
        <w:t>にあたります</w:t>
      </w:r>
      <w:r w:rsidR="00867C41">
        <w:rPr>
          <w:rFonts w:hint="eastAsia"/>
        </w:rPr>
        <w:t>。フラグメントが</w:t>
      </w:r>
      <w:r w:rsidR="00502570">
        <w:rPr>
          <w:rFonts w:hint="eastAsia"/>
        </w:rPr>
        <w:t>ライトの方向から</w:t>
      </w:r>
      <w:r w:rsidR="00502570">
        <w:rPr>
          <w:rFonts w:hint="eastAsia"/>
        </w:rPr>
        <w:t>edge1</w:t>
      </w:r>
      <w:r w:rsidR="00867C41">
        <w:rPr>
          <w:rFonts w:hint="eastAsia"/>
        </w:rPr>
        <w:t>度を超えた位置にある場合、その位置が</w:t>
      </w:r>
      <w:r w:rsidR="00867C41">
        <w:rPr>
          <w:rFonts w:hint="eastAsia"/>
        </w:rPr>
        <w:t>edge0</w:t>
      </w:r>
      <w:r w:rsidR="00867C41">
        <w:rPr>
          <w:rFonts w:hint="eastAsia"/>
        </w:rPr>
        <w:t>度に近いほど明るさが弱まり、</w:t>
      </w:r>
      <w:r w:rsidR="00867C41">
        <w:rPr>
          <w:rFonts w:hint="eastAsia"/>
        </w:rPr>
        <w:t>edge0</w:t>
      </w:r>
      <w:r w:rsidR="00867C41">
        <w:rPr>
          <w:rFonts w:hint="eastAsia"/>
        </w:rPr>
        <w:t>度より外側には全く光が当たりません。</w:t>
      </w:r>
    </w:p>
    <w:p w:rsidR="007E4B74" w:rsidRDefault="009958EB" w:rsidP="007E4B74">
      <w:r>
        <w:lastRenderedPageBreak/>
        <w:t>ところで、</w:t>
      </w:r>
      <w:r w:rsidR="002A22E8">
        <w:t>u</w:t>
      </w:r>
      <w:r w:rsidR="002A22E8">
        <w:rPr>
          <w:rFonts w:hint="eastAsia"/>
        </w:rPr>
        <w:t>niform</w:t>
      </w:r>
      <w:r w:rsidR="002A22E8">
        <w:rPr>
          <w:rFonts w:hint="eastAsia"/>
        </w:rPr>
        <w:t>変数の名前を変えたので</w:t>
      </w:r>
      <w:r w:rsidR="007E4B74">
        <w:rPr>
          <w:rFonts w:hint="eastAsia"/>
        </w:rPr>
        <w:t>、変数の位置を取得する</w:t>
      </w:r>
      <w:r w:rsidR="002A22E8">
        <w:rPr>
          <w:rFonts w:hint="eastAsia"/>
        </w:rPr>
        <w:t>プログラムを修正しなければなりません</w:t>
      </w:r>
      <w:r w:rsidR="007E4B74">
        <w:rPr>
          <w:rFonts w:hint="eastAsia"/>
        </w:rPr>
        <w:t>。</w:t>
      </w:r>
      <w:r w:rsidR="002A22E8">
        <w:br/>
      </w:r>
      <w:r w:rsidR="007E4B74">
        <w:rPr>
          <w:rFonts w:hint="eastAsia"/>
        </w:rPr>
        <w:t>Main.cpp</w:t>
      </w:r>
      <w:r w:rsidR="007E4B74">
        <w:rPr>
          <w:rFonts w:hint="eastAsia"/>
        </w:rPr>
        <w:t>を開き、</w:t>
      </w:r>
      <w:r w:rsidR="002A22E8">
        <w:rPr>
          <w:rFonts w:hint="eastAsia"/>
        </w:rPr>
        <w:t>スポット・ライト変数の位置を取得する</w:t>
      </w:r>
      <w:r w:rsidR="007E4B74">
        <w:rPr>
          <w:rFonts w:hint="eastAsia"/>
        </w:rPr>
        <w:t>プログラム</w:t>
      </w:r>
      <w:r w:rsidR="002A22E8">
        <w:rPr>
          <w:rFonts w:hint="eastAsia"/>
        </w:rPr>
        <w:t>を、次のように変更してください。</w:t>
      </w:r>
      <w:r w:rsidR="007E4B74">
        <w:rPr>
          <w:rFonts w:hint="eastAsia"/>
        </w:rPr>
        <w:t>。</w:t>
      </w:r>
    </w:p>
    <w:p w:rsidR="007E4B74" w:rsidRDefault="002A22E8" w:rsidP="007E4B74">
      <w:pPr>
        <w:pStyle w:val="ac"/>
      </w:pPr>
      <w:r>
        <w:rPr>
          <w:color w:val="0000FF"/>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0FA" w:rsidRDefault="00BE70FA" w:rsidP="00897DC8">
      <w:pPr>
        <w:spacing w:after="0" w:line="240" w:lineRule="auto"/>
      </w:pPr>
      <w:r>
        <w:separator/>
      </w:r>
    </w:p>
  </w:endnote>
  <w:endnote w:type="continuationSeparator" w:id="0">
    <w:p w:rsidR="00BE70FA" w:rsidRDefault="00BE70F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C2ED2">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C2ED2">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0FA" w:rsidRDefault="00BE70FA" w:rsidP="00897DC8">
      <w:pPr>
        <w:spacing w:after="0" w:line="240" w:lineRule="auto"/>
      </w:pPr>
      <w:r>
        <w:separator/>
      </w:r>
    </w:p>
  </w:footnote>
  <w:footnote w:type="continuationSeparator" w:id="0">
    <w:p w:rsidR="00BE70FA" w:rsidRDefault="00BE70F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19F3"/>
    <w:rsid w:val="0002657C"/>
    <w:rsid w:val="0002776F"/>
    <w:rsid w:val="00027EF5"/>
    <w:rsid w:val="00030B2B"/>
    <w:rsid w:val="00032D20"/>
    <w:rsid w:val="00032DF0"/>
    <w:rsid w:val="000339ED"/>
    <w:rsid w:val="00033C19"/>
    <w:rsid w:val="00042ADC"/>
    <w:rsid w:val="00043992"/>
    <w:rsid w:val="0004490C"/>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3382"/>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6989"/>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3F67D1"/>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B68"/>
    <w:rsid w:val="004C6C44"/>
    <w:rsid w:val="004C6C8A"/>
    <w:rsid w:val="004D096E"/>
    <w:rsid w:val="004D27D5"/>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570"/>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37A90"/>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B68B5"/>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67C41"/>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C11"/>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8EB"/>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349"/>
    <w:rsid w:val="00A5551E"/>
    <w:rsid w:val="00A5687C"/>
    <w:rsid w:val="00A56F79"/>
    <w:rsid w:val="00A57969"/>
    <w:rsid w:val="00A60E92"/>
    <w:rsid w:val="00A61FD2"/>
    <w:rsid w:val="00A64843"/>
    <w:rsid w:val="00A64D84"/>
    <w:rsid w:val="00A705FA"/>
    <w:rsid w:val="00A715FB"/>
    <w:rsid w:val="00A71C15"/>
    <w:rsid w:val="00A72419"/>
    <w:rsid w:val="00A761EB"/>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46FEA"/>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2ED2"/>
    <w:rsid w:val="00BC3CA2"/>
    <w:rsid w:val="00BC3D9E"/>
    <w:rsid w:val="00BC5462"/>
    <w:rsid w:val="00BD0531"/>
    <w:rsid w:val="00BD3270"/>
    <w:rsid w:val="00BD3543"/>
    <w:rsid w:val="00BD37E7"/>
    <w:rsid w:val="00BD47A5"/>
    <w:rsid w:val="00BD6C06"/>
    <w:rsid w:val="00BE0F42"/>
    <w:rsid w:val="00BE5668"/>
    <w:rsid w:val="00BE5798"/>
    <w:rsid w:val="00BE70FA"/>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299"/>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A2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D7458"/>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5775</TotalTime>
  <Pages>31</Pages>
  <Words>5905</Words>
  <Characters>33664</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462</cp:revision>
  <dcterms:created xsi:type="dcterms:W3CDTF">2018-10-28T09:20:00Z</dcterms:created>
  <dcterms:modified xsi:type="dcterms:W3CDTF">2018-11-12T16:51:00Z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